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00" w:lineRule="exact"/>
        <w:rPr>
          <w:rFonts w:ascii="宋体" w:hAnsi="宋体" w:eastAsia="宋体" w:cs="宋体"/>
          <w:color w:val="auto"/>
          <w:sz w:val="24"/>
          <w:highlight w:val="none"/>
        </w:rPr>
      </w:pPr>
      <w:r>
        <w:rPr>
          <w:rFonts w:ascii="宋体" w:hAnsi="宋体" w:eastAsia="宋体" w:cs="宋体"/>
          <w:color w:val="auto"/>
          <w:sz w:val="24"/>
          <w:highlight w:val="none"/>
        </w:rPr>
      </w:r>
      <w:r/>
    </w:p>
    <w:p>
      <w:pPr>
        <w:pStyle w:val="805"/>
        <w:rPr>
          <w:rFonts w:ascii="宋体" w:hAnsi="宋体" w:eastAsia="宋体" w:cs="宋体"/>
          <w:color w:val="auto"/>
          <w:sz w:val="24"/>
          <w:highlight w:val="none"/>
        </w:rPr>
      </w:pPr>
      <w:r>
        <w:rPr>
          <w:rFonts w:ascii="宋体" w:hAnsi="宋体" w:eastAsia="宋体" w:cs="宋体"/>
          <w:color w:val="auto"/>
          <w:sz w:val="24"/>
          <w:highlight w:val="none"/>
        </w:rPr>
      </w:r>
      <w:r/>
    </w:p>
    <w:p>
      <w:pPr>
        <w:pStyle w:val="805"/>
        <w:rPr>
          <w:rFonts w:ascii="宋体" w:hAnsi="宋体" w:eastAsia="宋体" w:cs="宋体"/>
          <w:color w:val="auto"/>
          <w:sz w:val="24"/>
          <w:highlight w:val="none"/>
        </w:rPr>
      </w:pPr>
      <w:r>
        <w:rPr>
          <w:rFonts w:ascii="宋体" w:hAnsi="宋体" w:eastAsia="宋体" w:cs="宋体"/>
          <w:color w:val="auto"/>
          <w:sz w:val="24"/>
          <w:highlight w:val="none"/>
        </w:rPr>
      </w:r>
      <w:r/>
    </w:p>
    <w:p>
      <w:pPr>
        <w:spacing w:line="2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2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2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center"/>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eastAsia="宋体" w:cs="宋体"/>
          <w:b/>
          <w:bCs/>
          <w:color w:val="auto"/>
          <w:sz w:val="48"/>
          <w:szCs w:val="16"/>
          <w:highlight w:val="none"/>
          <w:lang w:eastAsia="zh-CN"/>
        </w:rPr>
        <w:t xml:space="preserve">2026年南京市栖霞区农药包装废弃物与废旧地膜回收处理</w:t>
      </w:r>
      <w:r/>
    </w:p>
    <w:p>
      <w:pPr>
        <w:spacing w:line="2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0" w:lineRule="atLeast"/>
        <w:rPr>
          <w:rFonts w:ascii="宋体" w:hAnsi="宋体" w:eastAsia="宋体" w:cs="宋体"/>
          <w:b/>
          <w:color w:val="auto"/>
          <w:sz w:val="96"/>
          <w:szCs w:val="72"/>
          <w:highlight w:val="none"/>
        </w:rPr>
      </w:pPr>
      <w:r>
        <w:rPr>
          <w:rFonts w:ascii="宋体" w:hAnsi="宋体" w:eastAsia="宋体" w:cs="宋体"/>
          <w:b/>
          <w:color w:val="auto"/>
          <w:sz w:val="96"/>
          <w:szCs w:val="72"/>
          <w:highlight w:val="none"/>
        </w:rPr>
      </w:r>
      <w:r/>
    </w:p>
    <w:p>
      <w:pPr>
        <w:jc w:val="center"/>
        <w:spacing w:line="0" w:lineRule="atLeast"/>
        <w:rPr>
          <w:rFonts w:ascii="宋体" w:hAnsi="宋体" w:eastAsia="宋体" w:cs="宋体"/>
          <w:color w:val="auto"/>
          <w:sz w:val="144"/>
          <w:highlight w:val="none"/>
        </w:rPr>
      </w:pPr>
      <w:r>
        <w:rPr>
          <w:rFonts w:hint="eastAsia" w:ascii="宋体" w:hAnsi="宋体" w:eastAsia="宋体" w:cs="宋体"/>
          <w:b/>
          <w:color w:val="auto"/>
          <w:sz w:val="96"/>
          <w:szCs w:val="72"/>
          <w:highlight w:val="none"/>
        </w:rPr>
        <w:t xml:space="preserve">公开招标文件</w:t>
      </w:r>
      <w:r/>
    </w:p>
    <w:p>
      <w:pPr>
        <w:jc w:val="center"/>
        <w:rPr>
          <w:rFonts w:ascii="宋体" w:hAnsi="宋体" w:eastAsia="宋体" w:cs="宋体"/>
          <w:color w:val="auto"/>
          <w:sz w:val="28"/>
          <w:highlight w:val="none"/>
        </w:rPr>
      </w:pPr>
      <w:r>
        <w:rPr>
          <w:rFonts w:ascii="宋体" w:hAnsi="宋体" w:eastAsia="宋体" w:cs="宋体"/>
          <w:color w:val="auto"/>
          <w:sz w:val="28"/>
          <w:highlight w:val="none"/>
        </w:rPr>
      </w:r>
      <w:r/>
    </w:p>
    <w:p>
      <w:pPr>
        <w:pStyle w:val="738"/>
        <w:rPr>
          <w:rFonts w:ascii="宋体" w:hAnsi="宋体" w:eastAsia="宋体" w:cs="宋体"/>
          <w:color w:val="auto"/>
          <w:sz w:val="28"/>
          <w:highlight w:val="none"/>
        </w:rPr>
      </w:pPr>
      <w:r>
        <w:rPr>
          <w:rFonts w:ascii="宋体" w:hAnsi="宋体" w:eastAsia="宋体" w:cs="宋体"/>
          <w:color w:val="auto"/>
          <w:sz w:val="28"/>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color w:val="auto"/>
          <w:sz w:val="28"/>
          <w:highlight w:val="none"/>
        </w:rPr>
      </w:pPr>
      <w:r>
        <w:rPr>
          <w:rFonts w:ascii="宋体" w:hAnsi="宋体" w:eastAsia="宋体" w:cs="宋体"/>
          <w:color w:val="auto"/>
          <w:sz w:val="28"/>
          <w:highlight w:val="none"/>
        </w:rPr>
      </w:r>
      <w:r/>
    </w:p>
    <w:p>
      <w:pPr>
        <w:jc w:val="center"/>
        <w:rPr>
          <w:rFonts w:hint="default" w:ascii="宋体" w:hAnsi="宋体" w:eastAsia="宋体" w:cs="宋体"/>
          <w:color w:val="auto"/>
          <w:sz w:val="28"/>
          <w:highlight w:val="none"/>
          <w:lang w:val="en-US" w:eastAsia="zh-CN"/>
        </w:rPr>
      </w:pPr>
      <w:r>
        <w:rPr>
          <w:rFonts w:hint="eastAsia" w:ascii="宋体" w:hAnsi="宋体" w:eastAsia="宋体" w:cs="宋体"/>
          <w:color w:val="auto"/>
          <w:sz w:val="28"/>
          <w:highlight w:val="none"/>
        </w:rPr>
        <w:t xml:space="preserve">项目编号：JSZC-320113-QZDG-G2025-0018</w:t>
      </w:r>
      <w:r/>
    </w:p>
    <w:p>
      <w:pPr>
        <w:spacing w:line="237" w:lineRule="exact"/>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8"/>
          <w:highlight w:val="none"/>
        </w:rPr>
      </w:pPr>
      <w:r>
        <w:rPr>
          <w:rFonts w:ascii="宋体" w:hAnsi="宋体" w:eastAsia="宋体" w:cs="宋体"/>
          <w:color w:val="auto"/>
          <w:sz w:val="28"/>
          <w:highlight w:val="none"/>
        </w:rPr>
      </w:r>
      <w:r/>
    </w:p>
    <w:p>
      <w:pPr>
        <w:pStyle w:val="738"/>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2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2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200" w:lineRule="exact"/>
        <w:rPr>
          <w:rFonts w:ascii="宋体" w:hAnsi="宋体" w:eastAsia="宋体" w:cs="宋体"/>
          <w:color w:val="auto"/>
          <w:sz w:val="24"/>
          <w:highlight w:val="none"/>
        </w:rPr>
      </w:pPr>
      <w:r>
        <w:rPr>
          <w:rFonts w:ascii="宋体" w:hAnsi="宋体" w:eastAsia="宋体" w:cs="宋体"/>
          <w:color w:val="auto"/>
          <w:sz w:val="24"/>
          <w:highlight w:val="none"/>
        </w:rPr>
      </w:r>
      <w:r/>
    </w:p>
    <w:p>
      <w:pPr>
        <w:spacing w:line="336"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采购人：</w:t>
      </w:r>
      <w:r>
        <w:rPr>
          <w:rFonts w:hint="eastAsia" w:ascii="宋体" w:hAnsi="宋体" w:eastAsia="宋体" w:cs="宋体"/>
          <w:b/>
          <w:bCs/>
          <w:color w:val="auto"/>
          <w:sz w:val="32"/>
          <w:szCs w:val="32"/>
          <w:highlight w:val="none"/>
          <w:lang w:eastAsia="zh-CN"/>
        </w:rPr>
        <w:t xml:space="preserve">南京市栖霞区农业农村局</w:t>
      </w:r>
      <w:r/>
    </w:p>
    <w:p>
      <w:pPr>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代理人：南京勤泽道工程项目管理有限公司</w:t>
      </w:r>
      <w:r/>
    </w:p>
    <w:p>
      <w:pPr>
        <w:jc w:val="center"/>
        <w:spacing w:line="360" w:lineRule="auto"/>
        <w:rPr>
          <w:rFonts w:ascii="宋体" w:hAnsi="宋体" w:cs="仿宋"/>
          <w:b/>
          <w:bCs/>
          <w:color w:val="auto"/>
          <w:sz w:val="32"/>
          <w:szCs w:val="32"/>
          <w:highlight w:val="none"/>
        </w:rPr>
      </w:pPr>
      <w:r/>
      <w:bookmarkStart w:id="0" w:name="page2"/>
      <w:r/>
      <w:bookmarkEnd w:id="0"/>
      <w:r>
        <w:rPr>
          <w:rFonts w:hint="eastAsia" w:ascii="宋体" w:hAnsi="宋体" w:cs="仿宋"/>
          <w:b/>
          <w:bCs/>
          <w:color w:val="auto"/>
          <w:sz w:val="32"/>
          <w:szCs w:val="32"/>
          <w:highlight w:val="none"/>
        </w:rPr>
        <w:t xml:space="preserve">二〇二五年</w:t>
      </w:r>
      <w:r>
        <w:rPr>
          <w:rFonts w:hint="eastAsia" w:ascii="宋体" w:hAnsi="宋体" w:cs="仿宋"/>
          <w:b/>
          <w:bCs/>
          <w:color w:val="auto"/>
          <w:sz w:val="32"/>
          <w:szCs w:val="32"/>
          <w:highlight w:val="none"/>
          <w:lang w:val="en-US" w:eastAsia="zh-CN"/>
        </w:rPr>
        <w:t xml:space="preserve">十</w:t>
      </w:r>
      <w:r>
        <w:rPr>
          <w:rFonts w:hint="eastAsia" w:ascii="宋体" w:hAnsi="宋体" w:cs="仿宋"/>
          <w:b/>
          <w:bCs/>
          <w:color w:val="auto"/>
          <w:sz w:val="32"/>
          <w:szCs w:val="32"/>
          <w:highlight w:val="none"/>
        </w:rPr>
        <w:t xml:space="preserve">月</w:t>
      </w:r>
      <w:r/>
    </w:p>
    <w:p>
      <w:pPr>
        <w:jc w:val="center"/>
        <w:spacing w:line="360" w:lineRule="auto"/>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color w:val="auto"/>
          <w:highlight w:val="none"/>
          <w:lang w:val="zh-CN"/>
        </w:rPr>
        <w:sectPr>
          <w:footnotePr/>
          <w:endnotePr/>
          <w:type w:val="nextPage"/>
          <w:pgSz w:w="11900" w:h="16838" w:orient="portrait"/>
          <w:pgMar w:top="1440" w:right="1304" w:bottom="1440" w:left="1304" w:header="0" w:footer="567" w:gutter="0"/>
          <w:pgNumType w:start="1"/>
          <w:cols w:num="1" w:sep="0" w:space="720" w:equalWidth="1"/>
          <w:docGrid w:linePitch="360"/>
        </w:sectPr>
      </w:pPr>
      <w:r>
        <w:rPr>
          <w:rFonts w:ascii="宋体" w:hAnsi="宋体" w:eastAsia="宋体" w:cs="宋体"/>
          <w:color w:val="auto"/>
          <w:highlight w:val="none"/>
          <w:lang w:val="zh-CN"/>
        </w:rPr>
      </w:r>
      <w:r/>
    </w:p>
    <w:p>
      <w:pPr>
        <w:numPr>
          <w:ilvl w:val="0"/>
          <w:numId w:val="1"/>
        </w:numPr>
        <w:jc w:val="center"/>
        <w:rPr>
          <w:rFonts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招标公告</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项目概况</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2026年南京市栖霞区农药包装废弃物与废旧地膜回收处理JSZC-320113-QZDG-G2025-0018</w:t>
      </w:r>
      <w:r>
        <w:rPr>
          <w:rFonts w:hint="eastAsia" w:ascii="宋体" w:hAnsi="宋体" w:eastAsia="宋体" w:cs="宋体"/>
          <w:color w:val="auto"/>
          <w:sz w:val="24"/>
          <w:highlight w:val="none"/>
        </w:rPr>
        <w:t xml:space="preserve">的潜在供应商应在江苏政府采购网“苏采云”系统获取招标文件，并于</w:t>
      </w:r>
      <w:r>
        <w:rPr>
          <w:rFonts w:hint="eastAsia" w:ascii="宋体" w:hAnsi="宋体" w:eastAsia="宋体" w:cs="宋体"/>
          <w:color w:val="auto"/>
          <w:sz w:val="24"/>
          <w:highlight w:val="none"/>
        </w:rPr>
        <w:t xml:space="preserve">202</w:t>
      </w:r>
      <w:r>
        <w:rPr>
          <w:rFonts w:ascii="宋体" w:hAnsi="宋体" w:eastAsia="宋体" w:cs="宋体"/>
          <w:color w:val="auto"/>
          <w:sz w:val="24"/>
          <w:highlight w:val="none"/>
        </w:rPr>
        <w:t xml:space="preserve">5</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17</w:t>
      </w:r>
      <w:r>
        <w:rPr>
          <w:rFonts w:ascii="宋体" w:hAnsi="宋体" w:eastAsia="宋体" w:cs="宋体"/>
          <w:color w:val="auto"/>
          <w:sz w:val="24"/>
          <w:highlight w:val="yellow"/>
        </w:rPr>
        <w:t xml:space="preserve"> </w:t>
      </w:r>
      <w:r>
        <w:rPr>
          <w:rFonts w:ascii="宋体" w:hAnsi="宋体" w:eastAsia="宋体" w:cs="宋体"/>
          <w:color w:val="auto"/>
          <w:sz w:val="24"/>
          <w:highlight w:val="none"/>
        </w:rPr>
        <w:t xml:space="preserve">14</w:t>
      </w:r>
      <w:r>
        <w:rPr>
          <w:rFonts w:hint="eastAsia" w:ascii="宋体" w:hAnsi="宋体" w:eastAsia="宋体" w:cs="宋体"/>
          <w:color w:val="auto"/>
          <w:sz w:val="24"/>
          <w:highlight w:val="none"/>
        </w:rPr>
        <w:t xml:space="preserve">：00（北京时间）前递交投标文件。</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一、项目基本情况</w:t>
      </w:r>
      <w:r/>
    </w:p>
    <w:p>
      <w:pPr>
        <w:ind w:firstLine="480"/>
        <w:keepLines w:val="0"/>
        <w:keepNext w:val="0"/>
        <w:pageBreakBefore w:val="0"/>
        <w:spacing w:line="324"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项目编号：JSZC-320113-QZDG-G2025-0018</w:t>
      </w:r>
      <w:r/>
    </w:p>
    <w:p>
      <w:pPr>
        <w:ind w:firstLine="480"/>
        <w:keepLines w:val="0"/>
        <w:keepNext w:val="0"/>
        <w:pageBreakBefore w:val="0"/>
        <w:spacing w:line="324"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2026年南京市栖霞区农药包装废弃物与废旧地膜回收处理</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预算金额：</w:t>
      </w:r>
      <w:r>
        <w:rPr>
          <w:rFonts w:hint="eastAsia" w:ascii="宋体" w:hAnsi="宋体" w:eastAsia="宋体" w:cs="宋体"/>
          <w:color w:val="auto"/>
          <w:sz w:val="24"/>
          <w:highlight w:val="none"/>
          <w:lang w:val="en-US" w:eastAsia="zh-CN"/>
        </w:rPr>
        <w:t xml:space="preserve">90万元</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最高限价：</w:t>
      </w:r>
      <w:r>
        <w:rPr>
          <w:rFonts w:hint="eastAsia" w:ascii="宋体" w:hAnsi="宋体" w:eastAsia="宋体" w:cs="宋体"/>
          <w:color w:val="auto"/>
          <w:sz w:val="24"/>
          <w:highlight w:val="none"/>
          <w:lang w:val="en-US" w:eastAsia="zh-CN"/>
        </w:rPr>
        <w:t xml:space="preserve">90万元</w:t>
      </w:r>
      <w:r>
        <w:rPr>
          <w:rFonts w:hint="eastAsia" w:ascii="宋体" w:hAnsi="宋体" w:eastAsia="宋体" w:cs="宋体"/>
          <w:color w:val="auto"/>
          <w:sz w:val="24"/>
          <w:highlight w:val="none"/>
        </w:rPr>
        <w:t xml:space="preserve">，供应商报价超过最高限价的作无效标处理。</w:t>
      </w:r>
      <w:r/>
    </w:p>
    <w:p>
      <w:pPr>
        <w:ind w:firstLine="480"/>
        <w:keepLines w:val="0"/>
        <w:keepNext w:val="0"/>
        <w:pageBreakBefore w:val="0"/>
        <w:spacing w:line="324"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采购需求：202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lang w:eastAsia="zh-CN"/>
        </w:rPr>
        <w:t xml:space="preserve">年南京市栖霞区龙潭街道、八卦洲街道及西岗街道农药包装废弃物与废旧地膜回收处理项目，具体详见项目需求。</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szCs w:val="24"/>
          <w:highlight w:val="none"/>
        </w:rPr>
        <w:t xml:space="preserve">自</w:t>
      </w:r>
      <w:r>
        <w:rPr>
          <w:rFonts w:hint="eastAsia" w:ascii="宋体" w:hAnsi="宋体" w:eastAsia="宋体" w:cs="宋体"/>
          <w:color w:val="auto"/>
          <w:sz w:val="24"/>
          <w:szCs w:val="24"/>
          <w:highlight w:val="none"/>
          <w:lang w:val="en-US" w:eastAsia="zh-CN"/>
        </w:rPr>
        <w:t xml:space="preserve">合同签订之日</w:t>
      </w:r>
      <w:r>
        <w:rPr>
          <w:rFonts w:hint="eastAsia" w:ascii="宋体" w:hAnsi="宋体" w:eastAsia="宋体" w:cs="宋体"/>
          <w:color w:val="auto"/>
          <w:sz w:val="24"/>
          <w:szCs w:val="24"/>
          <w:highlight w:val="none"/>
        </w:rPr>
        <w:t xml:space="preserve">至</w:t>
      </w:r>
      <w:r>
        <w:rPr>
          <w:rFonts w:hint="eastAsia" w:ascii="宋体" w:hAnsi="宋体" w:eastAsia="宋体" w:cs="宋体"/>
          <w:color w:val="auto"/>
          <w:sz w:val="24"/>
          <w:szCs w:val="24"/>
          <w:highlight w:val="none"/>
          <w:lang w:val="en-US" w:eastAsia="zh-CN"/>
        </w:rPr>
        <w:t xml:space="preserve">2026年</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highlight w:val="none"/>
        </w:rPr>
        <w:t xml:space="preserve">。</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w:t>
      </w:r>
      <w:r>
        <w:rPr>
          <w:rFonts w:hint="eastAsia" w:ascii="宋体" w:hAnsi="宋体" w:eastAsia="宋体" w:cs="宋体"/>
          <w:iCs/>
          <w:color w:val="auto"/>
          <w:sz w:val="24"/>
          <w:highlight w:val="none"/>
        </w:rPr>
        <w:t xml:space="preserve">是/否</w:t>
      </w:r>
      <w:r>
        <w:rPr>
          <w:rFonts w:hint="eastAsia" w:ascii="宋体" w:hAnsi="宋体" w:eastAsia="宋体" w:cs="宋体"/>
          <w:color w:val="auto"/>
          <w:sz w:val="24"/>
          <w:highlight w:val="none"/>
        </w:rPr>
        <w:t xml:space="preserve">）接受联合体投标：否。</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二、申请人的资格要求：</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1.符合《中华人民共和国政府采购法》第二十二条规定：</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（1）具有独立承担民事责任的能力(提供法人或者其他组织的营业执照，自然人的身份证明，复印件加盖公章)；</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（2）具有良好的商业信誉和健全的财务会计制度(提供参加本次采购活动前半年任意一个月的会计报表或提供20</w:t>
      </w:r>
      <w:r>
        <w:rPr>
          <w:rFonts w:hint="eastAsia" w:ascii="宋体" w:hAnsi="宋体" w:eastAsia="宋体" w:cs="宋体"/>
          <w:color w:val="auto"/>
          <w:sz w:val="24"/>
          <w:highlight w:val="none"/>
          <w:lang w:val="en-US" w:eastAsia="zh-CN"/>
        </w:rPr>
        <w:t xml:space="preserve">24</w:t>
      </w:r>
      <w:r>
        <w:rPr>
          <w:rFonts w:hint="eastAsia" w:ascii="宋体" w:hAnsi="宋体" w:eastAsia="宋体" w:cs="宋体"/>
          <w:color w:val="auto"/>
          <w:sz w:val="24"/>
          <w:highlight w:val="none"/>
        </w:rPr>
        <w:t xml:space="preserve">年度的财务报告，或投标截止时间前六个月内银行出具的资信证明，成立不满一个月不需提供)；</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（3）具有履行合同所必需的设备和专业技术能力的书面声明（供应商根据履行采购项目合同需要，提供履行合同所必需的设备和专业技术能力的证明材料）；</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（4）具有依法缴纳税收和社会保障资金的良好记录（提供参加本次政府采购活动前缴纳税收的凭据；并提供缴纳社会保险的凭据（专用收据或社会保险缴纳清单），成立不满一个月不需提供）；</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（5）参加政府采购活动前三年内，在经营活动中没有重大违法记录（格式见附件）；</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（6）法律、行政法规规定的其他条件：无。</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2.落实政府采购政策需满足的资格要求：</w:t>
      </w:r>
      <w:r>
        <w:rPr>
          <w:rFonts w:hint="eastAsia" w:ascii="宋体" w:hAnsi="宋体" w:eastAsia="宋体" w:cs="宋体"/>
          <w:color w:val="auto"/>
          <w:sz w:val="24"/>
          <w:highlight w:val="none"/>
        </w:rPr>
        <w:t xml:space="preserve">本项目非专门面向中小企业（或监狱企业或残疾人福利性单位）采购。</w:t>
      </w:r>
      <w:r>
        <w:rPr>
          <w:rFonts w:hint="eastAsia" w:ascii="宋体" w:hAnsi="宋体" w:eastAsia="宋体" w:cs="宋体"/>
          <w:color w:val="auto"/>
          <w:sz w:val="24"/>
          <w:highlight w:val="none"/>
        </w:rPr>
        <w:t xml:space="preserve">本项目执行《政府采购促进中小企业发展管理办法》、《关于政府采购支持监狱企业发展有关问题的通知》、《关于促进残疾人就业政府采购政策的通知》、《财政部、发展改革委、生态环境部、市场监管总局关于调整优化节能产品、环境标志产品政府采购执行机制的通知》(财库(2019)9号)和《财政部、发展改革委关于印发节能产品政府采购品目清单的通知》(财库(2019)19号)等政府采购文件。</w:t>
      </w:r>
      <w:r/>
    </w:p>
    <w:p>
      <w:pPr>
        <w:ind w:firstLine="482"/>
        <w:keepLines w:val="0"/>
        <w:keepNext w:val="0"/>
        <w:pageBreakBefore w:val="0"/>
        <w:spacing w:line="324"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3.本项目的特定资格要求：</w:t>
      </w:r>
      <w:r>
        <w:rPr>
          <w:rFonts w:hint="eastAsia" w:ascii="宋体" w:hAnsi="宋体" w:eastAsia="宋体" w:cs="宋体"/>
          <w:color w:val="auto"/>
          <w:sz w:val="24"/>
          <w:highlight w:val="none"/>
          <w:lang w:val="en-US" w:eastAsia="zh-CN"/>
        </w:rPr>
        <w:t xml:space="preserve">无。</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三、获取招标文件</w:t>
      </w:r>
      <w:r/>
    </w:p>
    <w:p>
      <w:pPr>
        <w:ind w:firstLine="482"/>
        <w:keepLines w:val="0"/>
        <w:keepNext w:val="0"/>
        <w:pageBreakBefore w:val="0"/>
        <w:spacing w:line="324"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1、时间：</w:t>
      </w:r>
      <w:r>
        <w:rPr>
          <w:rFonts w:hint="eastAsia" w:ascii="宋体" w:hAnsi="宋体" w:eastAsia="宋体" w:cs="宋体"/>
          <w:color w:val="auto"/>
          <w:sz w:val="24"/>
          <w:highlight w:val="none"/>
          <w:lang w:val="en-US" w:eastAsia="zh-CN"/>
        </w:rPr>
        <w:t xml:space="preserve">自招标文件公告发布之日起5个工作日</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2、地点：江苏政府采购网</w:t>
      </w:r>
      <w:r/>
    </w:p>
    <w:p>
      <w:pPr>
        <w:ind w:firstLine="482"/>
        <w:keepLines w:val="0"/>
        <w:keepNext w:val="0"/>
        <w:pageBreakBefore w:val="0"/>
        <w:spacing w:line="324" w:lineRule="auto"/>
        <w:widowControl w:val="off"/>
        <w:rPr>
          <w:rFonts w:ascii="宋体" w:hAnsi="宋体" w:eastAsia="宋体" w:cs="宋体"/>
          <w:color w:val="auto"/>
          <w:sz w:val="24"/>
          <w:highlight w:val="none"/>
          <w:shd w:val="clear" w:color="auto" w:fill="ffffff"/>
        </w:rPr>
      </w:pPr>
      <w:r>
        <w:rPr>
          <w:rFonts w:hint="eastAsia" w:ascii="宋体" w:hAnsi="宋体" w:eastAsia="宋体" w:cs="宋体"/>
          <w:color w:val="auto"/>
          <w:sz w:val="24"/>
          <w:highlight w:val="none"/>
        </w:rPr>
        <w:t xml:space="preserve">3、方式：网上下载。</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4、售价：0元。</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四、提交投标文件截止时间、开标时间和地点</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1、提交投标文件截止时间、开标时间：2025年</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17</w:t>
      </w:r>
      <w:r>
        <w:rPr>
          <w:rFonts w:hint="eastAsia" w:ascii="宋体" w:hAnsi="宋体" w:eastAsia="宋体" w:cs="宋体"/>
          <w:color w:val="auto"/>
          <w:sz w:val="24"/>
          <w:highlight w:val="none"/>
        </w:rPr>
        <w:t xml:space="preserve">日</w:t>
      </w:r>
      <w:r>
        <w:rPr>
          <w:rFonts w:ascii="宋体" w:hAnsi="宋体" w:eastAsia="宋体" w:cs="宋体"/>
          <w:color w:val="auto"/>
          <w:sz w:val="24"/>
          <w:highlight w:val="none"/>
        </w:rPr>
        <w:t xml:space="preserve">14</w:t>
      </w:r>
      <w:r>
        <w:rPr>
          <w:rFonts w:hint="eastAsia" w:ascii="宋体" w:hAnsi="宋体" w:eastAsia="宋体" w:cs="宋体"/>
          <w:color w:val="auto"/>
          <w:sz w:val="24"/>
          <w:highlight w:val="none"/>
        </w:rPr>
        <w:t xml:space="preserve">:00（北京时间）</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2、地点：“苏采云”网上开标大厅（网址：http://jszfcg.jsczt.cn/）</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五、公告期限</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自本公告发布之日起5个工作日。</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六、其他补充事宜</w:t>
      </w:r>
      <w:r/>
    </w:p>
    <w:p>
      <w:pPr>
        <w:ind w:firstLine="482"/>
        <w:keepLines w:val="0"/>
        <w:keepNext w:val="0"/>
        <w:pageBreakBefore w:val="0"/>
        <w:spacing w:line="324"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1、本项目（是/否）接受进口设备：</w:t>
      </w:r>
      <w:r>
        <w:rPr>
          <w:rFonts w:hint="eastAsia" w:ascii="宋体" w:hAnsi="宋体" w:eastAsia="宋体" w:cs="宋体"/>
          <w:color w:val="auto"/>
          <w:sz w:val="24"/>
          <w:highlight w:val="none"/>
          <w:lang w:val="en-US" w:eastAsia="zh-CN"/>
        </w:rPr>
        <w:t xml:space="preserve">否</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2、拒绝下述供应商参加本次采购活动：</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（1）供应商单位负责人为同一人或者存在直接控股、管理关系的不同供应商，不得参加同一合同项下的政府采购活动。</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（2）凡为采购项目提供整体设计、规范编制或者项目管理、监理、检测等服务的供应商，不得再参加本项目的采购活动。</w:t>
      </w:r>
      <w:r/>
    </w:p>
    <w:p>
      <w:pPr>
        <w:ind w:firstLine="482"/>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（3）供应商被“信用中国”网站、“中国政府采购网”网站、</w:t>
      </w:r>
      <w:r>
        <w:rPr>
          <w:rFonts w:hint="eastAsia" w:ascii="宋体" w:hAnsi="宋体" w:eastAsia="宋体" w:cs="宋体"/>
          <w:bCs/>
          <w:color w:val="auto"/>
          <w:sz w:val="24"/>
          <w:highlight w:val="none"/>
        </w:rPr>
        <w:t xml:space="preserve">“信用江苏”</w:t>
      </w:r>
      <w:r>
        <w:rPr>
          <w:rFonts w:hint="eastAsia" w:ascii="宋体" w:hAnsi="宋体" w:eastAsia="宋体" w:cs="宋体"/>
          <w:color w:val="auto"/>
          <w:sz w:val="24"/>
          <w:highlight w:val="none"/>
        </w:rPr>
        <w:t xml:space="preserve">列入失信被执行人、重大税收违法案件当事人名单、政府采购严重违法失信行为记录名单。</w:t>
      </w:r>
      <w:r/>
    </w:p>
    <w:p>
      <w:pPr>
        <w:ind w:firstLine="480"/>
        <w:keepLines w:val="0"/>
        <w:keepNext w:val="0"/>
        <w:pageBreakBefore w:val="0"/>
        <w:spacing w:line="324" w:lineRule="auto"/>
        <w:widowControl w:val="off"/>
        <w:rPr>
          <w:rFonts w:ascii="宋体" w:hAnsi="宋体" w:eastAsia="宋体" w:cs="宋体"/>
          <w:color w:val="auto"/>
          <w:highlight w:val="none"/>
        </w:rPr>
      </w:pPr>
      <w:r>
        <w:rPr>
          <w:rFonts w:hint="eastAsia" w:ascii="宋体" w:hAnsi="宋体" w:eastAsia="宋体" w:cs="宋体"/>
          <w:color w:val="auto"/>
          <w:sz w:val="24"/>
          <w:highlight w:val="none"/>
        </w:rPr>
        <w:t xml:space="preserve">3、供应商在参加政府采购活动前3年内因违法经营被禁止在一定期限内参加政府采购活动，期限届满的，可以参加政府采购活动。</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采购人不统一组织进行现场踏勘，供应商认为需要可自行进行踏勘现场，费用由供应商自理。有关本招标的事项若存在变动或修改，敬请及时关注“南京公共采购信息网”及“江苏政府采购网”发布的信息更正公告。若因供应商未及时关注网站公告导致误投标，其责任由供应商自行承担。</w:t>
      </w:r>
      <w:r/>
    </w:p>
    <w:p>
      <w:pPr>
        <w:ind w:firstLine="480"/>
        <w:jc w:val="left"/>
        <w:keepLines w:val="0"/>
        <w:keepNext w:val="0"/>
        <w:pageBreakBefore w:val="0"/>
        <w:spacing w:line="324" w:lineRule="auto"/>
        <w:widowControl w:val="off"/>
        <w:rPr>
          <w:rFonts w:ascii="宋体" w:hAnsi="宋体" w:eastAsia="宋体" w:cs="宋体"/>
          <w:bCs/>
          <w:color w:val="auto"/>
          <w:sz w:val="24"/>
          <w:highlight w:val="none"/>
        </w:rPr>
      </w:pP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79"/>
        <w:jc w:val="left"/>
        <w:keepLines w:val="0"/>
        <w:keepNext w:val="0"/>
        <w:pageBreakBefore w:val="0"/>
        <w:spacing w:line="324" w:lineRule="auto"/>
        <w:widowControl w:val="off"/>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（2）“CA数字证书”的获取：供应商需办理CA锁，“苏采云”系统目前仅支持“苏采云”系统下的政务CA，省内各地区办理的“苏采云”系统下的政务CA全省通用。</w:t>
      </w:r>
      <w:r/>
    </w:p>
    <w:p>
      <w:pPr>
        <w:ind w:firstLine="379"/>
        <w:jc w:val="left"/>
        <w:keepLines w:val="0"/>
        <w:keepNext w:val="0"/>
        <w:pageBreakBefore w:val="0"/>
        <w:spacing w:line="324" w:lineRule="auto"/>
        <w:widowControl w:val="off"/>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（3）“CA数字证书”的办理材料以及供应商操作手册详见：http://jsxcmm.com/help/gys.html。</w:t>
      </w:r>
      <w:r/>
    </w:p>
    <w:p>
      <w:pPr>
        <w:ind w:firstLine="379"/>
        <w:jc w:val="left"/>
        <w:keepLines w:val="0"/>
        <w:keepNext w:val="0"/>
        <w:pageBreakBefore w:val="0"/>
        <w:spacing w:line="324" w:lineRule="auto"/>
        <w:widowControl w:val="off"/>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（4）潜在供应商访问“苏采云”系统的网络地址和方法：“苏采云”系统的网址：http://jszfcg.jsczt.cn/jszc/login。</w:t>
      </w:r>
      <w:r/>
    </w:p>
    <w:p>
      <w:pPr>
        <w:ind w:firstLine="379"/>
        <w:jc w:val="left"/>
        <w:keepLines w:val="0"/>
        <w:keepNext w:val="0"/>
        <w:pageBreakBefore w:val="0"/>
        <w:spacing w:line="324" w:lineRule="auto"/>
        <w:widowControl w:val="off"/>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（5）采购文件（后缀名为“.kedt”）、供应商操作手册及政府采购客户端工具也可通过“苏采云”系统--已报名项目--报名详情页面内相应链接进行下载。</w:t>
      </w:r>
      <w:r/>
    </w:p>
    <w:p>
      <w:pPr>
        <w:ind w:firstLine="379"/>
        <w:jc w:val="left"/>
        <w:keepLines w:val="0"/>
        <w:keepNext w:val="0"/>
        <w:pageBreakBefore w:val="0"/>
        <w:spacing w:line="324" w:lineRule="auto"/>
        <w:widowControl w:val="off"/>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（6）招标代理机构（采购代理机构）将数据电文形式的采购文件加载至“苏采云”系统，供潜在供应商下载或者查阅。    </w:t>
      </w:r>
      <w:r/>
    </w:p>
    <w:p>
      <w:pPr>
        <w:pStyle w:val="940"/>
        <w:ind w:firstLine="480"/>
        <w:keepLines w:val="0"/>
        <w:keepNext w:val="0"/>
        <w:pageBreakBefore w:val="0"/>
        <w:spacing w:after="0" w:line="324" w:lineRule="auto"/>
        <w:widowControl w:val="off"/>
        <w:rPr>
          <w:rFonts w:ascii="宋体" w:hAnsi="宋体" w:cs="宋体"/>
          <w:color w:val="auto"/>
          <w:highlight w:val="none"/>
        </w:rPr>
      </w:pPr>
      <w:r>
        <w:rPr>
          <w:rFonts w:hint="eastAsia" w:ascii="宋体" w:hAnsi="宋体" w:cs="宋体"/>
          <w:bCs/>
          <w:color w:val="auto"/>
          <w:sz w:val="24"/>
          <w:szCs w:val="24"/>
          <w:highlight w:val="none"/>
        </w:rPr>
        <w:t xml:space="preserve">（7）苏采云系统使用谷歌浏览器参与不见面开标。</w:t>
      </w:r>
      <w:r/>
    </w:p>
    <w:p>
      <w:pPr>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、政府采购信用承诺</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w:t>
      </w:r>
      <w:r>
        <w:rPr>
          <w:rFonts w:hint="eastAsia" w:ascii="宋体" w:hAnsi="宋体" w:eastAsia="宋体" w:cs="宋体"/>
          <w:color w:val="auto"/>
          <w:sz w:val="24"/>
          <w:highlight w:val="none"/>
        </w:rPr>
        <w:t xml:space="preserve">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在政府采购资格审查环节，供应商只需提供书面《南京市政府采购供应商信用记录表暨信用承诺书》，即可替代以下证明材料：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（1）符合国家相关规定的财务状况报告；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（2）依法缴纳税收的证明材料；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（3）依法缴纳社会保障资金的证明材料；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（4）具备履行政府采购合同所必需的设备和专业技术能力的证明材料；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（5）参加政府采购活动前三年内在经营活动中没有重大违法记录的证明材料；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（6）未被列入失信被执行人、重大税收违法失信主体、政府采购严重违法失信行为记录名单的证明材料。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供应商在中标（成交）后，应按采购文件要求，将上述由信用承诺书替代的证明材料提交采购人或采购代理机构核验。经核验无误后，由采购人或采购代理机构发出中标（成交）通知书。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供应商涉及以下情形的，不适用信用承诺：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（1）供应商被列入严重失信主体名单；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（2）被相关监管部门作出行政处罚且尚在处罚有效期内；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（3）其他法律、行政法规规定的不适用信用承诺的情形。 </w:t>
      </w:r>
      <w:r/>
    </w:p>
    <w:p>
      <w:pPr>
        <w:ind w:firstLine="480"/>
        <w:jc w:val="left"/>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供应商对信用承诺内容的真实性、合法性、有效性负责。如作出虚假信用承诺，视同为“提供虚假材料谋取中标、成交”的违法行为。</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七、对本次招标提出询问，请按以下方式联系</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1.采购人信息</w:t>
      </w:r>
      <w:r/>
    </w:p>
    <w:p>
      <w:pPr>
        <w:ind w:firstLine="480"/>
        <w:keepLines w:val="0"/>
        <w:keepNext w:val="0"/>
        <w:pageBreakBefore w:val="0"/>
        <w:spacing w:line="324"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lang w:eastAsia="zh-CN"/>
        </w:rPr>
        <w:t xml:space="preserve">南京市栖霞区农业农村局</w:t>
      </w:r>
      <w:r/>
    </w:p>
    <w:p>
      <w:pPr>
        <w:ind w:firstLine="480"/>
        <w:keepLines w:val="0"/>
        <w:keepNext w:val="0"/>
        <w:pageBreakBefore w:val="0"/>
        <w:spacing w:line="324" w:lineRule="auto"/>
        <w:widowControl w:val="off"/>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lang w:eastAsia="zh-CN"/>
        </w:rPr>
        <w:t xml:space="preserve">南京市栖霞区文苑路118号仙林商务办公中心7810室</w:t>
      </w:r>
      <w:r/>
    </w:p>
    <w:p>
      <w:pPr>
        <w:ind w:firstLine="480"/>
        <w:keepLines w:val="0"/>
        <w:keepNext w:val="0"/>
        <w:pageBreakBefore w:val="0"/>
        <w:spacing w:line="324"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陈</w:t>
      </w:r>
      <w:r>
        <w:rPr>
          <w:rFonts w:hint="eastAsia" w:ascii="宋体" w:hAnsi="宋体" w:eastAsia="宋体" w:cs="宋体"/>
          <w:color w:val="auto"/>
          <w:sz w:val="24"/>
          <w:highlight w:val="none"/>
          <w:lang w:val="en-US" w:eastAsia="zh-CN"/>
        </w:rPr>
        <w:t xml:space="preserve">紫</w:t>
      </w:r>
      <w:r>
        <w:rPr>
          <w:rFonts w:hint="eastAsia" w:ascii="宋体" w:hAnsi="宋体" w:eastAsia="宋体" w:cs="宋体"/>
          <w:color w:val="auto"/>
          <w:sz w:val="24"/>
          <w:highlight w:val="none"/>
          <w:lang w:val="en-US" w:eastAsia="zh-CN"/>
        </w:rPr>
        <w:t xml:space="preserve">龄</w:t>
      </w:r>
      <w:r>
        <w:rPr>
          <w:rFonts w:hint="eastAsia" w:ascii="宋体" w:hAnsi="宋体" w:eastAsia="宋体" w:cs="宋体"/>
          <w:color w:val="auto"/>
          <w:sz w:val="24"/>
          <w:highlight w:val="none"/>
          <w:lang w:val="en-US" w:eastAsia="zh-CN"/>
        </w:rPr>
      </w:r>
      <w:r/>
    </w:p>
    <w:p>
      <w:pPr>
        <w:ind w:firstLine="480"/>
        <w:keepLines w:val="0"/>
        <w:keepNext w:val="0"/>
        <w:pageBreakBefore w:val="0"/>
        <w:spacing w:line="324" w:lineRule="auto"/>
        <w:widowControl w:val="off"/>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lang w:val="en-US" w:eastAsia="zh-CN"/>
        </w:rPr>
      </w:r>
      <w:r>
        <w:t xml:space="preserve">02585561213</w:t>
      </w:r>
      <w:r>
        <w:rPr>
          <w:rFonts w:hint="eastAsia" w:ascii="宋体" w:hAnsi="宋体" w:eastAsia="宋体" w:cs="宋体"/>
          <w:color w:val="auto"/>
          <w:sz w:val="24"/>
          <w:highlight w:val="none"/>
          <w:lang w:val="en-US" w:eastAsia="zh-CN"/>
        </w:rPr>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2.采购代理机构信息</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名称：南京勤泽道工程项目管理有限公司</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地址：南京市玄武区红山路常发广场2号商务楼520室</w:t>
      </w:r>
      <w:r/>
    </w:p>
    <w:p>
      <w:pPr>
        <w:ind w:firstLine="480"/>
        <w:keepLines w:val="0"/>
        <w:keepNext w:val="0"/>
        <w:pageBreakBefore w:val="0"/>
        <w:spacing w:line="324" w:lineRule="auto"/>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lang w:val="en-US" w:eastAsia="zh-CN"/>
        </w:rPr>
        <w:t xml:space="preserve">18694995032</w:t>
      </w:r>
      <w:bookmarkStart w:id="12" w:name="_GoBack"/>
      <w:r/>
      <w:bookmarkEnd w:id="12"/>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3.项目联系方式</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项目联系人：</w:t>
      </w:r>
      <w:r>
        <w:rPr>
          <w:rFonts w:hint="eastAsia" w:ascii="宋体" w:hAnsi="宋体" w:eastAsia="宋体" w:cs="宋体"/>
          <w:color w:val="auto"/>
          <w:sz w:val="24"/>
          <w:highlight w:val="none"/>
          <w:lang w:val="en-US" w:eastAsia="zh-CN"/>
        </w:rPr>
        <w:t xml:space="preserve">王心雨</w:t>
      </w:r>
      <w:r>
        <w:rPr>
          <w:rFonts w:hint="eastAsia" w:ascii="宋体" w:hAnsi="宋体" w:eastAsia="宋体" w:cs="宋体"/>
          <w:color w:val="auto"/>
          <w:sz w:val="24"/>
          <w:highlight w:val="none"/>
        </w:rPr>
        <w:t xml:space="preserve">          </w:t>
      </w:r>
      <w:r/>
    </w:p>
    <w:p>
      <w:pPr>
        <w:ind w:firstLine="480"/>
        <w:keepLines w:val="0"/>
        <w:keepNext w:val="0"/>
        <w:pageBreakBefore w:val="0"/>
        <w:spacing w:line="324" w:lineRule="auto"/>
        <w:widowControl w:val="off"/>
        <w:rPr>
          <w:rFonts w:ascii="宋体" w:hAnsi="宋体" w:eastAsia="宋体" w:cs="宋体"/>
          <w:color w:val="auto"/>
          <w:sz w:val="24"/>
          <w:highlight w:val="non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lang w:val="en-US" w:eastAsia="zh-CN"/>
        </w:rPr>
        <w:t xml:space="preserve">18694995032</w:t>
      </w:r>
      <w:r>
        <w:rPr>
          <w:rFonts w:hint="eastAsia" w:ascii="宋体" w:hAnsi="宋体" w:eastAsia="宋体" w:cs="宋体"/>
          <w:color w:val="auto"/>
          <w:sz w:val="24"/>
          <w:highlight w:val="none"/>
        </w:rPr>
        <w:br w:type="page" w:clear="all"/>
      </w:r>
      <w:r/>
    </w:p>
    <w:p>
      <w:pPr>
        <w:ind w:left="720"/>
        <w:jc w:val="center"/>
        <w:rPr>
          <w:rFonts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第二章</w:t>
      </w:r>
      <w:r>
        <w:rPr>
          <w:rFonts w:hint="eastAsia" w:ascii="宋体" w:hAnsi="宋体" w:eastAsia="宋体" w:cs="宋体"/>
          <w:b/>
          <w:bCs/>
          <w:color w:val="auto"/>
          <w:sz w:val="36"/>
          <w:szCs w:val="36"/>
          <w:highlight w:val="none"/>
        </w:rPr>
        <w:t xml:space="preserve"> </w:t>
      </w:r>
      <w:r>
        <w:rPr>
          <w:rFonts w:hint="eastAsia" w:ascii="宋体" w:hAnsi="宋体" w:eastAsia="宋体" w:cs="宋体"/>
          <w:b/>
          <w:bCs/>
          <w:color w:val="auto"/>
          <w:sz w:val="36"/>
          <w:szCs w:val="36"/>
          <w:highlight w:val="none"/>
          <w:lang w:val="zh-CN"/>
        </w:rPr>
        <w:t xml:space="preserve">供应商须知</w:t>
      </w:r>
      <w:r/>
    </w:p>
    <w:p>
      <w:p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一、总则</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1、适用法律</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1.1《中华人民共和国政府采购法》、《中华人民共和国政府采购法实施条例》等有关法律、规章和规定等。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2、定义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2.1“供应商”是指参加投标竞争，并符合招标文件规定资格条件的法人、其他组织或者自然人。</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2.2“产品”指本招标文件中所述产品及相关服务。</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2.3“采购人或使用单位”是指使用的单位。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3、政策功能</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3.1政府采购促进中小企业发展，小企业（含小型、微型企业）提供的产品和服务或货物在评审时将获得优势，参加投标的小企业，应当提供《中小企业声明函》（“中小企业划型标准”详见《关于印发中小企业划型标准规定的通知》工信部联企业〔2011〕300号及《国家统计局关于印发统计上大中小微型企业划分办法（2017）的通知》国统字〔2017〕213号）。</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在货物采购项目中，供应商提供的货物既有中小企业制造货物，也有大型企业制造货物的，不享受中小企业扶持政策。</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3.2政府采购支持监狱和戒毒企业发展政策，监狱和戒毒企业提供的产品和服务或货物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3.4小型、微型企业提供中型或大型企业制造的货物的，视同为中型或大型企业。参加政府采购活动的中小企业应当按“关于印发《政府采购促进中小企业发展管理办法》的通知[财库〔2020〕46号]” 和《财库〔2022〕19号》规定提供《中小企业声明函》，未提供上述资料不得享受相关中小企业扶持政策。</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3.5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3.6提供的产品属于信息安全产品的，供应商应当选择经国家认证的信息安全产品投标，并提供由中国信息安全认证中心按国家标准认证颁发的有效认证证书复印件。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3.7提供的产品属于政府强制采购节能产品的，供应商应当选择经过认证的节能产品投标，并提供有效的节能产品认证证书复印件。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3.8提供的产品属于环境标志产品的,供应商应当选择经过认证的环境标志产品投标,并提供有效的环境标志产品认证证书复印件。</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3.9招标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p>
    <w:p>
      <w:pPr>
        <w:numPr>
          <w:ilvl w:val="0"/>
          <w:numId w:val="2"/>
        </w:num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招标文件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4、招标文件组成</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文件组成：招标公告、供应商须知、供应商应当提交的资格和资信证明文件、投标报价要求、投标文件编制要求、投标项目的技术规格、要求和数量、合同主要条款及合同签订方式、供货期、付款条件、评审方法、评审标准、无效投标和废标条款、附件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招标的最小单位是包。招标服务数量及技术要求中未分包的，供应商对要求提供的服务不得部分投标；招标服务数量及技术要求中已经分包的，应当以包为单位投标。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招标文件如果要求供应商提交备选投标方案的，供应商可以提交备选方案；否则，备选方案将被拒绝。</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5、招标文件的澄清、修改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采购人或采购代理机构对已发出的招标文件进行必要澄清或者修改的，将在招标文件要求提交投标文件截止时间十五日前，在原公开招标公告媒体发布更正公告，该澄清或者修改的内容为招标文件的组成部分。</w:t>
      </w:r>
      <w:r/>
    </w:p>
    <w:p>
      <w:pPr>
        <w:ind w:firstLine="480"/>
        <w:spacing w:line="360" w:lineRule="auto"/>
        <w:rPr>
          <w:rFonts w:ascii="宋体" w:hAnsi="宋体" w:eastAsia="宋体" w:cs="宋体"/>
          <w:b/>
          <w:color w:val="auto"/>
          <w:sz w:val="24"/>
          <w:highlight w:val="none"/>
        </w:rPr>
      </w:pPr>
      <w:r>
        <w:rPr>
          <w:rFonts w:hint="eastAsia" w:ascii="宋体" w:hAnsi="宋体" w:eastAsia="宋体" w:cs="宋体"/>
          <w:color w:val="auto"/>
          <w:sz w:val="24"/>
          <w:highlight w:val="none"/>
        </w:rPr>
        <w:t xml:space="preserve">供应商应在递交投标文件截止时间前关注原采购信息发布媒体上有关本招标项目有无变更公告。</w:t>
      </w:r>
      <w:r/>
    </w:p>
    <w:p>
      <w:pPr>
        <w:numPr>
          <w:ilvl w:val="0"/>
          <w:numId w:val="2"/>
        </w:numPr>
        <w:ind w:firstLine="482"/>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6、投标文件的语言、计量单位、货币和编制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提交的投标文件、技术文件和资料，包括图纸中的说明，以及供应商与采购代理机构就有关投标响应的所有来往函电均应使用中文。投标文件中若有英文或其他语言文字的资料，应提供相应的中文翻译资料。对不同文本投标文件的解释发生异议的，以中文文本为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供应商所使用的计量单位应为国家法定计量单位。</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供应商应用人民币报价。</w:t>
      </w:r>
      <w:r/>
    </w:p>
    <w:p>
      <w:pPr>
        <w:ind w:left="437"/>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7、联合投标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两个以上的自然人、法人或者其他组织可以组成一个联合体，以一个供应商的身份共同参加政府采购。</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鼓励大中型企业和其他自然人、法人或者其他组织与小型、微型企业组成联合体共同参加非专门面向中小企业的政府采购活动。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本次招标不接受联合体投标。</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8、投标费用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8.1供应商应自行承担所有与准备和参加投标有关的费用。无论采购结果如何，采购代理和采购人在任何情况下均无义务和责任承担这些费用。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9、投标文件组成</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应当根据招标文件要求编制投标文件，投标文件应对招标文件提出的要求和条件作出实质性响应，并在《商务条款偏离表》和《技术条款偏离表》等处逐条标明满足与否。对带星号（“★”）的技术条款必须在投标文件中提供技术支持资料（如白皮书、彩页、手册、检测报告等），未提供技术支持资料的，评审时不予认可。（采购需求中另有规定的，也可从其规定）</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投标文件由商务部分、技术部分、价格部分以及其他部分组成。</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10、投标文件的商务部分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10.1商务部分是证明供应商有资格参加投标响应和中标后有能力履行合同的文件，这些文件应能满足投标的要求，包括但不限于下列文件，其中加★项目不得有缺失或无效。</w:t>
      </w:r>
      <w:r/>
    </w:p>
    <w:p>
      <w:pPr>
        <w:numPr>
          <w:ilvl w:val="0"/>
          <w:numId w:val="3"/>
        </w:num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★投标响应申请及声明；</w:t>
      </w:r>
      <w:r/>
    </w:p>
    <w:p>
      <w:pPr>
        <w:numPr>
          <w:ilvl w:val="0"/>
          <w:numId w:val="3"/>
        </w:num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★法定代表人授权委托书及委托代理人的身份证明文件的复印件；</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（3）★第一章招标公告中第二条申请人的资格要求《中华人民共和国政府采购法》规定的资格条件承诺书（证明文件由中标供应商按招标文件要求提供）；</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（4）★第一章招标公告中第二条申请人的资格要求采购人根据采购项目的特殊要求规定的特定条件证明文件（若有）；</w:t>
      </w:r>
      <w:r/>
    </w:p>
    <w:p>
      <w:pPr>
        <w:ind w:left="42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（5）★开标一览表；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（6）★《南京市政府采购供应商信用记录表暨信用承诺书》；</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（7）★《商务条款偏离表》；</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（8）供应商类似业绩情况表</w:t>
      </w:r>
      <w:r/>
    </w:p>
    <w:p>
      <w:pPr>
        <w:ind w:firstLine="720"/>
        <w:spacing w:line="360" w:lineRule="auto"/>
        <w:rPr>
          <w:rFonts w:hint="default"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(9)声明函</w:t>
      </w:r>
      <w:r/>
    </w:p>
    <w:p>
      <w:pPr>
        <w:ind w:firstLine="72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(10)</w:t>
      </w:r>
      <w:r>
        <w:rPr>
          <w:rFonts w:hint="eastAsia" w:ascii="宋体" w:hAnsi="宋体" w:eastAsia="宋体" w:cs="宋体"/>
          <w:bCs/>
          <w:color w:val="auto"/>
          <w:sz w:val="24"/>
          <w:highlight w:val="none"/>
        </w:rPr>
        <w:t xml:space="preserve">供应商认为需要提供的其他商务资料</w:t>
      </w:r>
      <w:r/>
    </w:p>
    <w:p>
      <w:pPr>
        <w:ind w:left="42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供应商认为需要提供的其他资格证明文件和商务资料等。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11、投标文件的技术部分</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技术部分是证明供应商提供的产品和服务是合格的、并符合招标文件要求的证明文件，以及对投标报价表中的服务的详细说明，这些文件可以是文字资料、图纸和数据等。</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若技术性能无特殊说明，则按国家有关部门最新颁布的标准及规范为准；提供的服务如与招标文件要求有不符之处，应说明其差别之所在，并在《技术条款偏离表》中逐条予以说明。</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11.1投标文件应按照招标文件要求提供技术资料、文件和有关证明，包括但不限于其中加★项目不得有缺失或无效：</w:t>
      </w:r>
      <w:r/>
    </w:p>
    <w:p>
      <w:pPr>
        <w:numPr>
          <w:ilvl w:val="0"/>
          <w:numId w:val="4"/>
        </w:num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★《技术条款偏离表》；</w:t>
      </w:r>
      <w:r/>
    </w:p>
    <w:p>
      <w:pPr>
        <w:numPr>
          <w:ilvl w:val="0"/>
          <w:numId w:val="4"/>
        </w:num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方案及服务承诺；</w:t>
      </w:r>
      <w:r/>
    </w:p>
    <w:p>
      <w:pPr>
        <w:numPr>
          <w:ilvl w:val="0"/>
          <w:numId w:val="4"/>
        </w:num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供应商认为需要提供的其他技术资料。</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12、投标文件的价格部分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12.1价格部分是对货物和服务价格构成的说明，招标文件如没有特别说明的话，对每一项货物和服务仅接受一个价格。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12.2报价应包含</w:t>
      </w:r>
      <w:r>
        <w:rPr>
          <w:rFonts w:hint="eastAsia" w:ascii="宋体" w:hAnsi="宋体" w:eastAsia="宋体" w:cs="宋体"/>
          <w:color w:val="auto"/>
          <w:sz w:val="24"/>
          <w:highlight w:val="none"/>
          <w:lang w:val="en-US" w:eastAsia="zh-CN"/>
        </w:rPr>
        <w:t xml:space="preserve">本次招标的</w:t>
      </w:r>
      <w:r>
        <w:rPr>
          <w:rFonts w:hint="eastAsia" w:ascii="宋体" w:hAnsi="宋体" w:eastAsia="宋体" w:cs="宋体"/>
          <w:color w:val="auto"/>
          <w:sz w:val="24"/>
          <w:highlight w:val="none"/>
        </w:rPr>
        <w:t xml:space="preserve">所有费用、支付给员工的工资和国家强制缴纳的各种社会保障资金，以及供应商认为需要的其他费用等。</w:t>
      </w:r>
      <w:r/>
    </w:p>
    <w:p>
      <w:pPr>
        <w:ind w:firstLine="480"/>
        <w:spacing w:line="360" w:lineRule="auto"/>
        <w:rPr>
          <w:rFonts w:ascii="宋体" w:hAnsi="宋体" w:eastAsia="宋体" w:cs="宋体"/>
          <w:color w:val="auto"/>
          <w:sz w:val="20"/>
          <w:highlight w:val="none"/>
        </w:rPr>
      </w:pPr>
      <w:r>
        <w:rPr>
          <w:rFonts w:hint="eastAsia" w:ascii="宋体" w:hAnsi="宋体" w:eastAsia="宋体" w:cs="宋体"/>
          <w:color w:val="auto"/>
          <w:sz w:val="24"/>
          <w:highlight w:val="none"/>
        </w:rPr>
        <w:t xml:space="preserve">12.3供应商应充分考虑到市场价格变动，以及项目实施过程中的不可预见因素，一旦中标，总价格不变。如果有漏项，视同让利。供应商的任何错漏、优惠、竞争性报价不得作为减轻责任、减少服务、增加收费、降低质量的理由。</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12.4供应商应在《开标一览表》、《分项报价表》等标明提供服务的单价、总价以及分项报价。供应商系小企业（含小型、微型企业），并提供本企业制造的货物、承担的工程或者服务，或者提供其他小企业制造的货物，须在《开标一览表》、《分项报价表》中注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13、投标文件的其他部分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其他部分由供应商根据编制投标文件需要提供的其他相关文件。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14、投标保证金</w:t>
      </w:r>
      <w:r/>
    </w:p>
    <w:p>
      <w:pPr>
        <w:ind w:left="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本项目不需要交纳投标保证金。</w:t>
      </w:r>
      <w:r/>
    </w:p>
    <w:p>
      <w:pPr>
        <w:ind w:left="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15、投标有效期自投标之日起90天内投标有效。</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在特殊情况下，在原投标有效期截止之前，采购代理机构可要求供应商同意延长投标有效期，这种要求与答复均以书面形式提交。供应商可拒绝这种要求，并且不影响保证金退还。接受延长投标有效期的供应商将不会要求和允许修正其投标，而只会被要求相应地延长其投标保证金的有效期。在这种情况下，有关投标保证金的退还规定在延长了的有效期内继续有效。</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16、投标文件的签署</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16.1投标文件应按照招标文件要求加盖电子公章，否则视为无效投标。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17、投标文件的递交</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17.1供应商应当按照《操作手册》规定，在招标公告规定的投标截止时间前制作并上传电子投标文件。招标代理机构拒绝接收提交投标文件截止时间后上传的任何电子投标文件。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17.2供应商应充分考虑网络环境、网络带宽等因素可能对投标产生的影响，如因供应商自身原因造成的电子投标文件上传不成功的，按照做无效投标处理。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17.3代理机构可以按照规定，通过修改招标文件酌情延长投标截止时间，在此情况下，供应商的所有权利和义务均以延长后新的截止时间为准。</w:t>
      </w:r>
      <w:r/>
    </w:p>
    <w:p>
      <w:pPr>
        <w:ind w:firstLine="480"/>
        <w:spacing w:line="360" w:lineRule="auto"/>
        <w:rPr>
          <w:rFonts w:ascii="宋体" w:hAnsi="宋体" w:eastAsia="宋体" w:cs="宋体"/>
          <w:strike/>
          <w:color w:val="auto"/>
          <w:sz w:val="24"/>
          <w:highlight w:val="none"/>
        </w:rPr>
      </w:pPr>
      <w:r>
        <w:rPr>
          <w:rFonts w:hint="eastAsia" w:ascii="宋体" w:hAnsi="宋体" w:eastAsia="宋体" w:cs="宋体"/>
          <w:color w:val="auto"/>
          <w:sz w:val="24"/>
          <w:highlight w:val="none"/>
        </w:rPr>
        <w:t xml:space="preserve">17.4</w:t>
      </w:r>
      <w:r>
        <w:rPr>
          <w:rFonts w:hint="eastAsia" w:ascii="宋体" w:hAnsi="宋体" w:eastAsia="宋体" w:cs="宋体"/>
          <w:color w:val="auto"/>
          <w:sz w:val="24"/>
          <w:highlight w:val="none"/>
        </w:rPr>
        <w:t xml:space="preserve">中标人须在中标公告结束后，领取中标通知书前向采购人免费提供叁份（一正二副）上传至苏</w:t>
      </w:r>
      <w:r>
        <w:rPr>
          <w:rFonts w:hint="eastAsia" w:ascii="宋体" w:hAnsi="宋体" w:eastAsia="宋体" w:cs="宋体"/>
          <w:color w:val="auto"/>
          <w:sz w:val="24"/>
          <w:highlight w:val="none"/>
          <w:lang w:val="en-US" w:eastAsia="zh-CN"/>
        </w:rPr>
        <w:t xml:space="preserve">采</w:t>
      </w:r>
      <w:r>
        <w:rPr>
          <w:rFonts w:hint="eastAsia" w:ascii="宋体" w:hAnsi="宋体" w:eastAsia="宋体" w:cs="宋体"/>
          <w:color w:val="auto"/>
          <w:sz w:val="24"/>
          <w:highlight w:val="none"/>
        </w:rPr>
        <w:t xml:space="preserve">云系统的纸质投标文件（下简称纸质投标文件）纸质投标文件（正、副本）均应加盖中标单位公章，且装订成册。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18、投标文件的解密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18.1供应商应当按照《操作手册》规定，在“苏采云”系统规定的时间内对投标文件进行解密。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18.2供应商应充分考虑网络环境、网络带宽等因素可能对投标产生的影响，如因供应商自身原因造成的电子投标文件解密不成功的，做无效投标处理。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19、投标文件的修改和撤回。</w:t>
      </w:r>
      <w:r/>
    </w:p>
    <w:p>
      <w:pPr>
        <w:ind w:firstLine="480"/>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19.1供应商</w:t>
      </w:r>
      <w:r>
        <w:rPr>
          <w:rFonts w:hint="eastAsia" w:ascii="宋体" w:hAnsi="宋体" w:eastAsia="宋体" w:cs="宋体"/>
          <w:color w:val="auto"/>
          <w:sz w:val="24"/>
          <w:highlight w:val="none"/>
          <w:lang w:val="zh-CN"/>
        </w:rPr>
        <w:t xml:space="preserve">可在投标截止时间前撤回其电子投标文件，具体操作方法见《操作手册》。供应商撤回电子投标文件，则认为其不再参与本项目投标活动。</w:t>
      </w:r>
      <w:r/>
    </w:p>
    <w:p>
      <w:pPr>
        <w:ind w:firstLine="480"/>
        <w:spacing w:line="360" w:lineRule="auto"/>
        <w:rPr>
          <w:rFonts w:ascii="宋体" w:hAnsi="宋体" w:eastAsia="宋体" w:cs="宋体"/>
          <w:color w:val="auto"/>
          <w:sz w:val="24"/>
          <w:highlight w:val="none"/>
          <w:lang w:val="zh-CN"/>
        </w:rPr>
      </w:pPr>
      <w:r>
        <w:rPr>
          <w:rFonts w:hint="eastAsia" w:ascii="宋体" w:hAnsi="宋体" w:eastAsia="宋体" w:cs="宋体"/>
          <w:color w:val="auto"/>
          <w:sz w:val="24"/>
          <w:highlight w:val="none"/>
        </w:rPr>
        <w:t xml:space="preserve">19.2</w:t>
      </w:r>
      <w:r>
        <w:rPr>
          <w:rFonts w:hint="eastAsia" w:ascii="宋体" w:hAnsi="宋体" w:eastAsia="宋体" w:cs="宋体"/>
          <w:color w:val="auto"/>
          <w:sz w:val="24"/>
          <w:highlight w:val="none"/>
          <w:lang w:val="zh-CN"/>
        </w:rPr>
        <w:t xml:space="preserve">供应商可在投标截止时间前对其电子投标文件进行修改，具体操作方法见《操作手册》。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19.3投标文件截止时间之后，</w:t>
      </w:r>
      <w:r>
        <w:rPr>
          <w:rFonts w:hint="eastAsia" w:ascii="宋体" w:hAnsi="宋体" w:eastAsia="宋体" w:cs="宋体"/>
          <w:color w:val="auto"/>
          <w:sz w:val="24"/>
          <w:highlight w:val="none"/>
          <w:lang w:val="zh-CN"/>
        </w:rPr>
        <w:t xml:space="preserve">供应商不得对其电子投标文件作任何修改。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4</w:t>
      </w:r>
      <w:r>
        <w:rPr>
          <w:rFonts w:hint="eastAsia" w:ascii="宋体" w:hAnsi="宋体" w:eastAsia="宋体" w:cs="宋体"/>
          <w:color w:val="auto"/>
          <w:sz w:val="24"/>
          <w:highlight w:val="none"/>
          <w:lang w:val="zh-CN"/>
        </w:rPr>
        <w:t xml:space="preserve">在投标截止时间至招标文件中规定的投标有效期满之间的这段时间内，供应商不得撤回其投标。</w:t>
      </w:r>
      <w:r/>
    </w:p>
    <w:p>
      <w:pPr>
        <w:numPr>
          <w:ilvl w:val="0"/>
          <w:numId w:val="2"/>
        </w:num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开标、评标与确定中标供应商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20、开标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20.2供应商在开标过程中涉及到的投标文件解密、开标结果确认等工作，应按照《操作手册》规定执行。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20.3供应商不足3家的，不得开标。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20.4供应商如果对开标过程和开标结果有疑义，应当根据《操作手册》规定提出，“苏采云”系统中《开标记录表》公布后5分钟内未提出的，视同认可开标结果。</w:t>
      </w:r>
      <w:r/>
    </w:p>
    <w:p>
      <w:pPr>
        <w:ind w:firstLine="480"/>
        <w:spacing w:line="360" w:lineRule="auto"/>
        <w:tabs>
          <w:tab w:val="left" w:pos="92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20.5公开开标数额标准以上的采购项目，递交投标文件截止后供应商不足3家或者通过资格审查</w:t>
      </w:r>
      <w:bookmarkStart w:id="1" w:name="page15"/>
      <w:r/>
      <w:bookmarkEnd w:id="1"/>
      <w:r>
        <w:rPr>
          <w:rFonts w:hint="eastAsia" w:ascii="宋体" w:hAnsi="宋体" w:eastAsia="宋体" w:cs="宋体"/>
          <w:color w:val="auto"/>
          <w:sz w:val="24"/>
          <w:highlight w:val="none"/>
        </w:rPr>
        <w:t xml:space="preserve">或符合性审查的供应商不足3家的，除采购任务取消情形外，按照以下方式处理：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（1）招标文件存在不合理条款或者开标程序不符合规定的，采购人、采购代理机构改正后依法重新开标；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招标文件没有不合理条款、开标程序符合规定，需要采用其他采购方式采购的，采购人依法报财政部门批准，经批准后，可变更为其他采购方式采购。本次招标文件中对供应商资格条件要求、技术要求和商务等要求，将作为其他采购方式采购的基本要求和谈判依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21、评标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21.1评标组织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21.1.1评标工作由采购代理机构负责组织，具体评标事务由依法组建的评标委员会负责，并独立履行下列职责：</w:t>
      </w:r>
      <w:r/>
    </w:p>
    <w:p>
      <w:pPr>
        <w:numPr>
          <w:ilvl w:val="0"/>
          <w:numId w:val="5"/>
        </w:num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审查投标文件是否符合招标文件要求，并作出评价；</w:t>
      </w:r>
      <w:r/>
    </w:p>
    <w:p>
      <w:pPr>
        <w:numPr>
          <w:ilvl w:val="0"/>
          <w:numId w:val="5"/>
        </w:num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要求供应商对投标文件有关事项作出解释或者澄清；</w:t>
      </w:r>
      <w:r/>
    </w:p>
    <w:p>
      <w:pPr>
        <w:numPr>
          <w:ilvl w:val="0"/>
          <w:numId w:val="5"/>
        </w:num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推荐中标候选供应商名单，或者按照招标文件规定直接确定供应商；</w:t>
      </w:r>
      <w:r/>
    </w:p>
    <w:p>
      <w:pPr>
        <w:numPr>
          <w:ilvl w:val="0"/>
          <w:numId w:val="5"/>
        </w:num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向财政部门报告非法干预评审工作的行为。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21.1.2评标委员会由采购人代表和有关技术、经济等方面的专家组成，独立开展评审工作。</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21.2评审程序</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21.2.1投标文件的资格性检查。公开招标采购项目开标结束后，采购人或者采购代理机构应当依法对</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的资格进行审查，并将审查的结论向评委会进行反馈。合格</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不足3家的，不得评标。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21.2.2投标文件的符合性检查。评标委员会对通过资格性检查的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的投标文件进行符合性审查，以确定其是否满足招标文件的实质性要求。投标文件有下列情况之一的，在符合性检查时按照无效投标处理：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（1）供应商在“苏采云”系统规定的时间内未成功解密电子投标文件的；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（2）供应商未按照招标文件要求上传电子投标文件的；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（3）同一供应商提交两个（含两个）以上不同的投标报价的；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（4）供应商未按照招标文件要求加盖电子公章的；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（5）不具备招标文件中规定资格要求的；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（6）报价超过招标文件中规定的预算金额或者最高限价的；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（7）投标文件含有采购人不能接受的附加条件的；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（8）投标文件内容不全或不符合招标文件中规定的其他实质性要求的；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（9）现行法律、法规、规章和招标文件规定的其他无效情形。</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21.2.2.1实质性要求是指本招标文件中用带星号（“★”）、“必须”或“应（应当）”等其他文字说明的商务和技术要求。</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21.2.2.2有下列情形之一的予以废标，同时将废标理由通知所有供应商：</w:t>
      </w:r>
      <w:r/>
    </w:p>
    <w:p>
      <w:pPr>
        <w:numPr>
          <w:ilvl w:val="0"/>
          <w:numId w:val="6"/>
        </w:num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符合专业条件的供应商或者对招标文件作实质性响应的供应商不足三家的；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（2）出现影响采购公正的违法、违规行为的；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（3）供应商的报价均超过了采购预算，采购人不能支付的；</w:t>
      </w:r>
      <w:r/>
    </w:p>
    <w:p>
      <w:pPr>
        <w:ind w:firstLine="480"/>
        <w:spacing w:line="360" w:lineRule="auto"/>
        <w:rPr>
          <w:rFonts w:ascii="宋体" w:hAnsi="宋体" w:eastAsia="宋体" w:cs="宋体"/>
          <w:color w:val="auto"/>
          <w:highlight w:val="none"/>
        </w:rPr>
      </w:pPr>
      <w:r>
        <w:rPr>
          <w:rFonts w:hint="eastAsia" w:ascii="宋体" w:hAnsi="宋体" w:eastAsia="宋体" w:cs="宋体"/>
          <w:color w:val="auto"/>
          <w:sz w:val="24"/>
          <w:highlight w:val="none"/>
        </w:rPr>
        <w:t xml:space="preserve">（4）因苏采云系统故障造成开标不成功的；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以明显低于其他通过符合性审查</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的报价，有可能影响产品质量或者不能诚信履约的，且不能证明其报价合理性的。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（6）因重大变故，采购任务取消的；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21.2.2.3在评标期间，出现符合专业条件的供应商或者对招标文件作出实质性响应的供应商不足三家情形的，比照20.5款执行。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21.2.3澄清有关问题。对投标文件中含义不明确、同类问题表述不一致或者明显文字和计算错误的内容，评标委员会可以要求供应商作出必要的澄清、说明或者补正。</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的澄清、说明或者补正不得超出投标文件的范围或者改变投标文件的实质性内容。评委会并非对每个</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都做澄清要求。</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21.2.3.1需要供应商进行澄清、说明和补正的，评委会将通过苏采云系统向</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发出《澄清要求函》，接到《澄清要求函》的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应当按照要求在苏采云系统中提交《澄清响应函》并加盖电子公章。澄清、说明和补正的内容作为投标文件的补充部分，具体操作方式见《操作手册》。</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21.2.3.2接到评委会澄清、说明和补正要求的，</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如未按规定作出澄清、说明和补正，其风险由</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自行承担。</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21.2.3.3投标文件报价出现前后不一致的，除招标文件另有规定外，按照下列规定修正：</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（1）投标文件中开标一览表（报价表）内容与投标文件中相应内容不一致的，以开标一览表（报价表）为准；</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（2）大写金额和小写金额不一致的，以大写金额为准；</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（3）单价金额小数点或者百分比有明显错位的，以开标一览表的总价为准，并修改单价；</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（4）总价金额与按单价汇总金额不一致的，以单价金额计算结果为准。</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，调整后的价格对</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具有约束力。如果</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不接受修正后的价格，则其投标将被拒绝。</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21.2.3.4</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在开、评标全过程中应保持通讯畅通，及时登录苏采云系统查阅、答复相关信息，并安排专人与代理机构及评委会联系。</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24.2.3.5评标委员会认为</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的报价明显低于其他通过符合性审查</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的报价，有可能影响产品质量或者不能诚信履约的，将要求其在评标现场合理的时间内提供书面说明，必要时提交相关证明材料；</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不能证明其报价合理性的，评标委员会将其作为无效投标处理。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21.2.4比较与评价。按照招标文件中规定的评审方法和标准，对资格性检查和符合性检查合格的投标文件进行商务和技术评估，综合比较与评价。</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21.3评标方法和标准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21.3.1采用综合评分法。即在最大限度地满足招标文件实质性要求前提下，按照招标文件中规定的各项因素进行综合评审后，以评审总得分最高的供应商作为中标候选供应商或者中标供应商的评标方法。</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21.3.2评审因素，包括价格、技术、商务等。</w:t>
      </w:r>
      <w:r/>
    </w:p>
    <w:p>
      <w:pPr>
        <w:ind w:firstLine="480"/>
        <w:spacing w:line="360" w:lineRule="auto"/>
        <w:rPr>
          <w:rFonts w:hint="eastAsia" w:ascii="新宋体" w:hAnsi="新宋体" w:cs="新宋体"/>
          <w:color w:val="auto"/>
          <w:sz w:val="24"/>
          <w:szCs w:val="24"/>
          <w:highlight w:val="none"/>
        </w:rPr>
      </w:pPr>
      <w:r>
        <w:rPr>
          <w:rFonts w:hint="eastAsia" w:ascii="新宋体" w:hAnsi="新宋体" w:eastAsia="新宋体" w:cs="新宋体"/>
          <w:color w:val="auto"/>
          <w:sz w:val="24"/>
          <w:highlight w:val="none"/>
        </w:rPr>
        <w:t xml:space="preserve">21.3.3评分标准详见文件第三章。</w:t>
      </w:r>
      <w:r>
        <w:rPr>
          <w:rFonts w:ascii="新宋体" w:hAnsi="新宋体" w:cs="新宋体"/>
        </w:rPr>
      </w:r>
      <w:r/>
    </w:p>
    <w:p>
      <w:pPr>
        <w:ind w:left="118" w:right="0" w:firstLine="420"/>
        <w:spacing w:before="0" w:after="0" w:line="360" w:lineRule="auto"/>
        <w:rPr>
          <w:rFonts w:ascii="新宋体" w:hAnsi="新宋体" w:cs="新宋体"/>
          <w:color w:val="000000" w:themeColor="text1"/>
          <w:sz w:val="24"/>
          <w:szCs w:val="24"/>
        </w:rPr>
        <w:pBdr>
          <w:top w:val="none" w:color="000000" w:sz="4" w:space="0"/>
          <w:left w:val="none" w:color="000000" w:sz="4" w:space="0"/>
          <w:bottom w:val="none" w:color="000000" w:sz="4" w:space="0"/>
          <w:right w:val="none" w:color="000000" w:sz="4" w:space="0"/>
        </w:pBdr>
      </w:pPr>
      <w:r>
        <w:rPr>
          <w:rFonts w:hint="eastAsia" w:ascii="新宋体" w:hAnsi="新宋体" w:eastAsia="宋体" w:cs="新宋体"/>
          <w:color w:val="auto"/>
          <w:sz w:val="24"/>
          <w:szCs w:val="24"/>
          <w:highlight w:val="none"/>
        </w:rPr>
        <w:t xml:space="preserve">21.4</w:t>
      </w:r>
      <w:r>
        <w:rPr>
          <w:rFonts w:ascii="新宋体" w:hAnsi="新宋体" w:eastAsia="新宋体" w:cs="新宋体"/>
          <w:color w:val="000000" w:themeColor="text1"/>
          <w:sz w:val="24"/>
          <w:szCs w:val="24"/>
        </w:rPr>
        <w:t xml:space="preserve">评审过程中出现下列情形之一的，评审委员会应当启动异常低价投标</w:t>
      </w:r>
      <w:r>
        <w:rPr>
          <w:rFonts w:ascii="新宋体" w:hAnsi="新宋体" w:eastAsia="新宋体" w:cs="新宋体"/>
          <w:color w:val="000000" w:themeColor="text1"/>
          <w:sz w:val="24"/>
          <w:szCs w:val="24"/>
        </w:rPr>
        <w:t xml:space="preserve">(响应)审查程序:</w:t>
      </w:r>
      <w:r>
        <w:rPr>
          <w:rFonts w:ascii="新宋体" w:hAnsi="新宋体" w:cs="新宋体"/>
          <w:color w:val="000000" w:themeColor="text1"/>
          <w:sz w:val="24"/>
          <w:szCs w:val="24"/>
        </w:rPr>
      </w:r>
      <w:r/>
    </w:p>
    <w:p>
      <w:pPr>
        <w:ind w:left="118" w:right="0" w:firstLine="420"/>
        <w:spacing w:before="0" w:after="0" w:line="360" w:lineRule="auto"/>
        <w:rPr>
          <w:rFonts w:ascii="新宋体" w:hAnsi="新宋体" w:cs="新宋体"/>
          <w:color w:val="000000" w:themeColor="text1"/>
          <w:sz w:val="24"/>
          <w:szCs w:val="24"/>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themeColor="text1"/>
          <w:sz w:val="24"/>
          <w:szCs w:val="24"/>
        </w:rPr>
        <w:t xml:space="preserve">（</w:t>
      </w:r>
      <w:r>
        <w:rPr>
          <w:rFonts w:ascii="新宋体" w:hAnsi="新宋体" w:eastAsia="新宋体" w:cs="新宋体"/>
          <w:color w:val="000000" w:themeColor="text1"/>
          <w:sz w:val="24"/>
          <w:szCs w:val="24"/>
        </w:rPr>
        <w:t xml:space="preserve">1）投标(响应)报价低于采购项目预算50%的，即投标(响应)报价&lt;采购项目预算x50%;</w:t>
      </w:r>
      <w:r>
        <w:rPr>
          <w:rFonts w:ascii="新宋体" w:hAnsi="新宋体" w:cs="新宋体"/>
          <w:color w:val="000000" w:themeColor="text1"/>
          <w:sz w:val="24"/>
          <w:szCs w:val="24"/>
        </w:rPr>
      </w:r>
      <w:r/>
    </w:p>
    <w:p>
      <w:pPr>
        <w:ind w:left="118" w:right="0" w:firstLine="420"/>
        <w:spacing w:before="0" w:after="0" w:line="360" w:lineRule="auto"/>
        <w:rPr>
          <w:rFonts w:ascii="新宋体" w:hAnsi="新宋体" w:cs="新宋体"/>
          <w:color w:val="000000" w:themeColor="text1"/>
          <w:sz w:val="24"/>
          <w:szCs w:val="24"/>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themeColor="text1"/>
          <w:sz w:val="24"/>
          <w:szCs w:val="24"/>
        </w:rPr>
        <w:t xml:space="preserve">（</w:t>
      </w:r>
      <w:r>
        <w:rPr>
          <w:rFonts w:ascii="新宋体" w:hAnsi="新宋体" w:eastAsia="新宋体" w:cs="新宋体"/>
          <w:color w:val="000000" w:themeColor="text1"/>
          <w:sz w:val="24"/>
          <w:szCs w:val="24"/>
        </w:rPr>
        <w:t xml:space="preserve">2）投标(响应)报价低于采购项目最高限价45%的，即投标(响应)报价&lt;采购项目最高限价x45%;</w:t>
      </w:r>
      <w:r>
        <w:rPr>
          <w:rFonts w:ascii="新宋体" w:hAnsi="新宋体" w:cs="新宋体"/>
          <w:color w:val="000000" w:themeColor="text1"/>
          <w:sz w:val="24"/>
          <w:szCs w:val="24"/>
        </w:rPr>
      </w:r>
      <w:r/>
    </w:p>
    <w:p>
      <w:pPr>
        <w:ind w:left="118" w:right="0" w:firstLine="420"/>
        <w:spacing w:before="0" w:after="0" w:line="360" w:lineRule="auto"/>
        <w:rPr>
          <w:rFonts w:ascii="新宋体" w:hAnsi="新宋体" w:cs="新宋体"/>
          <w:color w:val="000000" w:themeColor="text1"/>
          <w:sz w:val="24"/>
          <w:szCs w:val="24"/>
        </w:rPr>
        <w:pBdr>
          <w:top w:val="none" w:color="000000" w:sz="4" w:space="0"/>
          <w:left w:val="none" w:color="000000" w:sz="4" w:space="0"/>
          <w:bottom w:val="none" w:color="000000" w:sz="4" w:space="0"/>
          <w:right w:val="none" w:color="000000" w:sz="4" w:space="0"/>
        </w:pBdr>
      </w:pPr>
      <w:r>
        <w:rPr>
          <w:rFonts w:ascii="新宋体" w:hAnsi="新宋体" w:eastAsia="新宋体" w:cs="新宋体"/>
          <w:color w:val="000000" w:themeColor="text1"/>
          <w:sz w:val="24"/>
          <w:szCs w:val="24"/>
        </w:rPr>
        <w:t xml:space="preserve">（</w:t>
      </w:r>
      <w:r>
        <w:rPr>
          <w:rFonts w:ascii="新宋体" w:hAnsi="新宋体" w:eastAsia="新宋体" w:cs="新宋体"/>
          <w:color w:val="000000" w:themeColor="text1"/>
          <w:sz w:val="24"/>
          <w:szCs w:val="24"/>
        </w:rPr>
        <w:t xml:space="preserve">3）评审委员会认定的供应商报价过低、有可能影响</w:t>
      </w:r>
      <w:r>
        <w:rPr>
          <w:rFonts w:ascii="新宋体" w:hAnsi="新宋体" w:eastAsia="新宋体" w:cs="新宋体"/>
          <w:color w:val="000000" w:themeColor="text1"/>
          <w:sz w:val="24"/>
          <w:szCs w:val="24"/>
        </w:rPr>
        <w:t xml:space="preserve">服务</w:t>
      </w:r>
      <w:r>
        <w:rPr>
          <w:rFonts w:ascii="新宋体" w:hAnsi="新宋体" w:eastAsia="新宋体" w:cs="新宋体"/>
          <w:color w:val="000000" w:themeColor="text1"/>
          <w:sz w:val="24"/>
          <w:szCs w:val="24"/>
        </w:rPr>
        <w:t xml:space="preserve">质量或者不能诚信履约的其他情形。</w:t>
      </w:r>
      <w:r>
        <w:rPr>
          <w:rFonts w:ascii="新宋体" w:hAnsi="新宋体" w:cs="新宋体"/>
          <w:color w:val="000000" w:themeColor="text1"/>
          <w:sz w:val="24"/>
          <w:szCs w:val="24"/>
        </w:rPr>
      </w:r>
      <w:r/>
    </w:p>
    <w:p>
      <w:pPr>
        <w:ind w:left="118" w:right="0" w:firstLine="420"/>
        <w:spacing w:before="0" w:after="0" w:line="360" w:lineRule="auto"/>
        <w:rPr>
          <w:rFonts w:ascii="新宋体" w:hAnsi="新宋体" w:cs="新宋体"/>
          <w:color w:val="000000" w:themeColor="text1"/>
          <w:sz w:val="24"/>
          <w:szCs w:val="24"/>
        </w:rPr>
        <w:pBdr>
          <w:top w:val="none" w:color="000000" w:sz="4" w:space="0"/>
          <w:left w:val="none" w:color="000000" w:sz="4" w:space="0"/>
          <w:bottom w:val="none" w:color="000000" w:sz="4" w:space="0"/>
          <w:right w:val="none" w:color="000000" w:sz="4" w:space="0"/>
        </w:pBdr>
      </w:pPr>
      <w:r>
        <w:rPr>
          <w:rFonts w:ascii="新宋体" w:hAnsi="新宋体" w:eastAsia="STSong" w:cs="新宋体"/>
          <w:color w:val="000000" w:themeColor="text1"/>
          <w:sz w:val="24"/>
          <w:szCs w:val="24"/>
        </w:rPr>
        <w:t xml:space="preserve">21.5</w:t>
      </w:r>
      <w:r>
        <w:rPr>
          <w:rFonts w:ascii="新宋体" w:hAnsi="新宋体" w:eastAsia="新宋体" w:cs="新宋体"/>
          <w:color w:val="000000" w:themeColor="text1"/>
          <w:sz w:val="24"/>
          <w:szCs w:val="24"/>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w:t>
      </w:r>
      <w:r>
        <w:rPr>
          <w:rFonts w:ascii="新宋体" w:hAnsi="新宋体" w:eastAsia="新宋体" w:cs="新宋体"/>
          <w:color w:val="000000" w:themeColor="text1"/>
          <w:sz w:val="24"/>
          <w:szCs w:val="24"/>
        </w:rPr>
        <w:t xml:space="preserve">服务</w:t>
      </w:r>
      <w:r>
        <w:rPr>
          <w:rFonts w:ascii="新宋体" w:hAnsi="新宋体" w:eastAsia="新宋体" w:cs="新宋体"/>
          <w:color w:val="000000" w:themeColor="text1"/>
          <w:sz w:val="24"/>
          <w:szCs w:val="24"/>
        </w:rPr>
        <w:t xml:space="preserve">的价格、该行业当地薪资水平等情况，依据专业经验对供应商报价合理性进行判断。投标(响应)供应商不提供书面说明、证明材料,或者提供的书面说明</w:t>
      </w:r>
      <w:r>
        <w:rPr>
          <w:rFonts w:ascii="新宋体" w:hAnsi="新宋体" w:eastAsia="新宋体" w:cs="新宋体"/>
          <w:color w:val="000000" w:themeColor="text1"/>
          <w:sz w:val="24"/>
          <w:szCs w:val="24"/>
        </w:rPr>
        <w:t xml:space="preserve">、</w:t>
      </w:r>
      <w:r>
        <w:rPr>
          <w:rFonts w:ascii="新宋体" w:hAnsi="新宋体" w:eastAsia="新宋体" w:cs="新宋体"/>
          <w:color w:val="000000" w:themeColor="text1"/>
          <w:sz w:val="24"/>
          <w:szCs w:val="24"/>
        </w:rPr>
        <w:t xml:space="preserve">证明</w:t>
      </w:r>
      <w:r>
        <w:rPr>
          <w:rFonts w:ascii="新宋体" w:hAnsi="新宋体" w:eastAsia="新宋体" w:cs="新宋体"/>
          <w:color w:val="000000" w:themeColor="text1"/>
          <w:sz w:val="24"/>
          <w:szCs w:val="24"/>
        </w:rPr>
        <w:t xml:space="preserve">材料不能证明其报价合理性的</w:t>
      </w:r>
      <w:r>
        <w:rPr>
          <w:rFonts w:ascii="新宋体" w:hAnsi="新宋体" w:eastAsia="新宋体" w:cs="新宋体"/>
          <w:color w:val="000000" w:themeColor="text1"/>
          <w:sz w:val="24"/>
          <w:szCs w:val="24"/>
        </w:rPr>
        <w:t xml:space="preserve">，</w:t>
      </w:r>
      <w:r>
        <w:rPr>
          <w:rFonts w:ascii="新宋体" w:hAnsi="新宋体" w:eastAsia="新宋体" w:cs="新宋体"/>
          <w:color w:val="000000" w:themeColor="text1"/>
          <w:sz w:val="24"/>
          <w:szCs w:val="24"/>
        </w:rPr>
        <w:t xml:space="preserve">评审委员会应当将其作为无效投标(响应)处理。</w:t>
      </w:r>
      <w:r>
        <w:rPr>
          <w:rFonts w:ascii="新宋体" w:hAnsi="新宋体" w:cs="新宋体"/>
          <w:color w:val="000000" w:themeColor="text1"/>
          <w:sz w:val="24"/>
          <w:szCs w:val="24"/>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22、确定中标供应商</w:t>
      </w:r>
      <w:r/>
    </w:p>
    <w:p>
      <w:pPr>
        <w:ind w:firstLine="480"/>
        <w:spacing w:line="360" w:lineRule="auto"/>
        <w:rPr>
          <w:rFonts w:ascii="宋体" w:hAnsi="宋体" w:cs="宋体"/>
          <w:color w:val="auto"/>
          <w:sz w:val="24"/>
          <w:highlight w:val="none"/>
        </w:rPr>
      </w:pPr>
      <w:r>
        <w:rPr>
          <w:rFonts w:hint="eastAsia" w:ascii="宋体" w:hAnsi="宋体" w:eastAsia="宋体" w:cs="宋体"/>
          <w:color w:val="auto"/>
          <w:sz w:val="24"/>
          <w:highlight w:val="none"/>
        </w:rPr>
        <w:t xml:space="preserve">22.1评审结果按评审后得分由高到低顺序排列</w:t>
      </w:r>
      <w:bookmarkStart w:id="2" w:name="_Hlk179291922"/>
      <w:r>
        <w:rPr>
          <w:rFonts w:hint="eastAsia" w:ascii="宋体" w:hAnsi="宋体" w:eastAsia="宋体" w:cs="宋体"/>
          <w:color w:val="auto"/>
          <w:sz w:val="24"/>
          <w:highlight w:val="none"/>
        </w:rPr>
        <w:t xml:space="preserve">确认中标供应商</w:t>
      </w:r>
      <w:bookmarkEnd w:id="2"/>
      <w:r>
        <w:rPr>
          <w:rFonts w:hint="eastAsia" w:ascii="宋体" w:hAnsi="宋体" w:eastAsia="宋体" w:cs="宋体"/>
          <w:color w:val="auto"/>
          <w:sz w:val="24"/>
          <w:highlight w:val="none"/>
        </w:rPr>
        <w:t xml:space="preserve">。得分相同的，按投标报价由低到高顺序排列。得分且投标报价相同的按技术评分得分自高到低顺序排列。</w:t>
      </w:r>
      <w:bookmarkStart w:id="3" w:name="_Hlk179291929"/>
      <w:r>
        <w:rPr>
          <w:rFonts w:hint="eastAsia" w:ascii="宋体" w:hAnsi="宋体" w:eastAsia="宋体" w:cs="宋体"/>
          <w:color w:val="auto"/>
          <w:sz w:val="24"/>
          <w:highlight w:val="none"/>
        </w:rPr>
        <w:t xml:space="preserve">投标文件满足招标文件全部实质性要求，</w:t>
      </w:r>
      <w:r>
        <w:rPr>
          <w:rFonts w:hint="eastAsia" w:ascii="宋体" w:hAnsi="宋体" w:cs="宋体"/>
          <w:color w:val="auto"/>
          <w:sz w:val="24"/>
          <w:highlight w:val="none"/>
        </w:rPr>
        <w:t xml:space="preserve">且按照评审因素的量化指标评审得分最高的供应商为中标候选人。</w:t>
      </w:r>
      <w:bookmarkEnd w:id="3"/>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22.2中标供应商确定后，将在财政部门指定的政府采购信息发布媒体上公告，中标供应商向采购代理机构支付招标费用后到采购代理机构领取中标通知书。</w:t>
      </w:r>
      <w:r/>
    </w:p>
    <w:p>
      <w:pPr>
        <w:ind w:firstLine="420"/>
        <w:spacing w:line="360" w:lineRule="auto"/>
        <w:shd w:val="clear" w:color="auto" w:fill="ffffff"/>
        <w:widowControl/>
        <w:rPr>
          <w:rFonts w:ascii="宋体" w:hAnsi="宋体" w:cs="宋体"/>
          <w:bCs/>
          <w:color w:val="auto"/>
          <w:szCs w:val="21"/>
          <w:highlight w:val="none"/>
        </w:rPr>
      </w:pPr>
      <w:r>
        <w:rPr>
          <w:rFonts w:hint="eastAsia" w:ascii="宋体" w:hAnsi="宋体" w:eastAsia="宋体" w:cs="宋体"/>
          <w:color w:val="auto"/>
          <w:sz w:val="24"/>
          <w:highlight w:val="none"/>
        </w:rPr>
        <w:t xml:space="preserve">本项目的招标费用由中标人承担，招标代理收费参照</w:t>
      </w:r>
      <w:r>
        <w:rPr>
          <w:rFonts w:hint="eastAsia" w:ascii="宋体" w:hAnsi="宋体" w:eastAsia="宋体" w:cs="宋体"/>
          <w:color w:val="auto"/>
          <w:sz w:val="24"/>
          <w:highlight w:val="none"/>
        </w:rPr>
        <w:t xml:space="preserve">《江苏省招标代理服务收费的指导意见》</w:t>
      </w:r>
      <w:r>
        <w:rPr>
          <w:rFonts w:hint="eastAsia" w:ascii="宋体" w:hAnsi="宋体" w:eastAsia="宋体" w:cs="宋体"/>
          <w:color w:val="auto"/>
          <w:sz w:val="24"/>
          <w:highlight w:val="none"/>
        </w:rPr>
        <w:t xml:space="preserve">苏招协[2022]002号文标准</w:t>
      </w:r>
      <w:r>
        <w:rPr>
          <w:rFonts w:hint="eastAsia" w:ascii="宋体" w:hAnsi="宋体" w:eastAsia="宋体" w:cs="宋体"/>
          <w:color w:val="auto"/>
          <w:sz w:val="24"/>
          <w:highlight w:val="none"/>
        </w:rPr>
        <w:t xml:space="preserve">计取。</w:t>
      </w:r>
      <w:r/>
    </w:p>
    <w:p>
      <w:pPr>
        <w:ind w:firstLine="480"/>
        <w:spacing w:line="360" w:lineRule="auto"/>
        <w:tabs>
          <w:tab w:val="left" w:pos="94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22.3中标人确定后，在省级以上财政部门指定的媒体上公告中标结果，中标公告期为 1 个工作日。</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22.4中标通知书对采购人和中标供应商具有同等法律效力。</w:t>
      </w:r>
      <w:r/>
    </w:p>
    <w:p>
      <w:pPr>
        <w:ind w:firstLine="480"/>
        <w:spacing w:line="360" w:lineRule="auto"/>
        <w:rPr>
          <w:rFonts w:ascii="宋体" w:hAnsi="宋体" w:eastAsia="宋体" w:cs="宋体"/>
          <w:color w:val="auto"/>
          <w:sz w:val="24"/>
          <w:highlight w:val="none"/>
        </w:rPr>
      </w:pPr>
      <w:r/>
      <w:bookmarkStart w:id="5" w:name="_Hlk99749347"/>
      <w:r>
        <w:rPr>
          <w:rFonts w:hint="eastAsia" w:ascii="宋体" w:hAnsi="宋体" w:eastAsia="宋体" w:cs="宋体"/>
          <w:color w:val="auto"/>
          <w:sz w:val="24"/>
          <w:highlight w:val="none"/>
        </w:rPr>
        <w:t xml:space="preserve">22.5中标通知书发出后，中标供应商除发生法律规定的不能预见、不能避免并不能克服的客观情况外，不得放弃或拒绝签订合同。放弃或拒绝签订合同的，中标供应商不得参加对该项目重新开展的采购活动，由财政部门按照《政府采购法》第七十七条第一款予以罚款，列入不良行为记录名单，在一至三年内禁止参加政府采购活动，并予以通报。 </w:t>
      </w:r>
      <w:bookmarkEnd w:id="5"/>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22.6采购代理机构和评标委员会对未中标的供应商不作未中标原因的解释。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22.7所有投标文件都将作为档案保存，不论中标与否，采购代理机构均不退回。</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23、编写评审报告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23.1评标委员会根据全体评审成员签字的原始评审记录和评审结果编写评审报告。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24、评审过程的保密性</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24.1采购代理机构将采取必要措施，保证评审在严格保密的情况下进行。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24.2任何单位和个人不得非法干预、影响评审办法的确定，以及评审过程和结果。</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24.3凡是与审查、澄清、评价和比较投标的有关资料等，均不向供应商及与评审无关的其他人员透露。</w:t>
      </w:r>
      <w:r/>
    </w:p>
    <w:p>
      <w:pPr>
        <w:ind w:firstLine="482"/>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五、签订合同</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25.1中标供应商应当自中标通知书发出之日起三十日内，按照招标文件和中标供应商投标文件的约定与采购人签订采购合同，所签订的合同不得对招标文件和中标供应商投标文件作实质性修改。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25.2采购人不得向中标供应商提出任何不合理的要求作为签订合同的条件，不得与中标供应商私下订立背离合同实质性内容的协议。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25.3中标供应商拒绝与采购人签订合同，或因不可抗力或者自身原因不能履行政府采购合同的，采购人可以按照评审报告推荐的中标候选人名单排序，确定下一候选人为中标供应商，也可以重新开展政府采购活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25.4采购合同履行中，采购人需追加与合同标的相同货物或服务的，在不改变合同其他条款的前提下，可以与供应商协商签订补充合同，但所有补充合同的采购金额不得超过原合同采购金额的百分之十。</w:t>
      </w:r>
      <w:r/>
    </w:p>
    <w:p>
      <w:pPr>
        <w:ind w:left="42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六、询问、质疑、投诉和诚实信用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26、询问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26.1供应商对投标活动事项有疑问的，可以向采购代理机构或采购人提出询问，采购代理机构或采购人将在三个工作日内作出答复，但答复的内容不涉及商业秘密。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27、质疑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27.1供应商认为采购文件、采购过程和中标结果使自己的合法权益受到损害的，可以在知道或者应当知道其权益受到损害之日起七个工作日内，将质疑文件原件送达采购代理机构。</w:t>
      </w:r>
      <w:r/>
    </w:p>
    <w:p>
      <w:pPr>
        <w:ind w:firstLine="420"/>
        <w:spacing w:line="360" w:lineRule="auto"/>
        <w:shd w:val="clear" w:color="auto" w:fill="ffffff"/>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供应商必须在法定质疑期内一次性提出针对同一采购程序环节的质疑。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采购信息公告期限自财政部门指定媒体发布公告之日起算，期限5个工作日。采购结果公告期限自财政部门指定媒体发布公告之日起算，期限1个工作日。</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27.2质疑文件应包括以下主要内容，并按照“谁主张、谁举证”的原则，附上相关证明材料。否则，采购代理机构或采购人不予受理：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（1）质疑项目名称、项目编号、包号、招标公告发布时间、开标时间；</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（2）提起质疑的日期、具体的质疑事项、质疑事项相关的请求及事实根据（具体条款）；</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投标产品提出质疑，并提出修改理由和修改建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（4）质疑供应商名称、地址、邮编、联系人、联系电话（包括座机、手机、传真号码等）；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（5）质疑文件应当署名，质疑人为自然人的，应当由本人签字并附有效身份证明；质疑人为法人或其他组织的，应当由法定代表人签字并加盖单位公章。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（6）供应商委托代理质疑的，应当向被质疑人提交授权委托书，并载明委托代理的具体权限和事项。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27.3质疑供应商是指直接参加本项目采购活动的供应商；对招标文件提出质疑的，应自供应商获得招标文件之日起计算，且应当在递交投标文件截止之日前提出；对采购过程提出质疑的，自采购程序环节结束之日起计算；对中标结果提出质疑的，自中标结果公告之日起计算。</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27.4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28、投诉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28.1质疑供应商对采购代理机构的答复不满意，或采购代理机构未在规定的时间内作出答复的，可以在答复期满后十五个工作日内向采购项目同级财政部门投诉。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28.2供应商投诉应当提交投诉书和必要的证明材料。供应商投诉的事项不得超出已质疑事项的范围，但基于质疑答复内容提出的投诉事项除外。</w:t>
      </w:r>
      <w:r/>
    </w:p>
    <w:p>
      <w:pPr>
        <w:ind w:firstLine="480"/>
        <w:spacing w:line="360" w:lineRule="auto"/>
        <w:tabs>
          <w:tab w:val="left" w:pos="946"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28.3投诉人对政府采购监督管理部门的投诉处理决定不服或者政府采购监督管理部门逾期未作处理的，可以依法申请行政复议或者向人民法院提起行政诉讼。</w:t>
      </w:r>
      <w:r/>
    </w:p>
    <w:p>
      <w:pPr>
        <w:ind w:left="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28.4投诉人有下列行为之一的，属于严重失信行为，由财政部门列入不良行为记录名单，禁止其一至三年内参加政府采购活动。</w:t>
      </w:r>
      <w:r/>
    </w:p>
    <w:p>
      <w:pPr>
        <w:ind w:left="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（1）投诉人在全国范围12个月内三次以上投诉查无实据的；</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（2）采用捏造事实、提供虚假材料或者以非法手段取得证明材料等方式进行虚假、恶意投诉证件来源的合法性存在明显疑问，投诉人无法证明其取得方式合法的，视为以非法手段取得证明材料。</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29、诚实信用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29.1供应商之间不得相互串通报价，不得妨碍其他供应商的公平竞争，不得损害采购人和其他供应商的合法权益。</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29.2供应商不得以向采购代理机构工作人员、评标委员会成员行贿或者采取其他不正当手段谋取中标。经查实供应商有此行为的，政府采购管理部门将供应商列入不良行为记录名单，按照《政府采购法》有关规定处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29.3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29.4供应商不得虚假承诺，否则，按照提供虚假材料谋取中标处理。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29.5供应商应自觉遵守开标、评审纪律，扰乱开标评审现场秩序的，属于失信行为，根据《江苏省政府采购供应商监督管理暂行办法》，失信行为将被记入供应商诚信档案。</w:t>
      </w:r>
      <w:r/>
    </w:p>
    <w:p>
      <w:pP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r/>
    </w:p>
    <w:p>
      <w:pPr>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第三章 评标标准</w:t>
      </w:r>
      <w:r/>
    </w:p>
    <w:p>
      <w:pPr>
        <w:ind w:firstLine="480"/>
        <w:rPr>
          <w:rFonts w:ascii="宋体" w:hAnsi="宋体" w:eastAsia="宋体" w:cs="宋体"/>
          <w:color w:val="auto"/>
          <w:sz w:val="24"/>
          <w:highlight w:val="none"/>
        </w:rPr>
      </w:pPr>
      <w:r/>
      <w:bookmarkStart w:id="6" w:name="_Hlk99749639"/>
      <w:r>
        <w:rPr>
          <w:rFonts w:hint="eastAsia" w:ascii="宋体" w:hAnsi="宋体" w:eastAsia="宋体" w:cs="宋体"/>
          <w:color w:val="auto"/>
          <w:sz w:val="24"/>
          <w:highlight w:val="none"/>
        </w:rPr>
        <w:t xml:space="preserve">本项目采用综合评分法，评分统计方法采用百分制（满分100分），将全部评委评分直接进行算术平均，小数点后保留2位。评审结果按评审后得分由高到低顺序排列，得分相同的，按投标报价由低到高顺序排列，得分且投标报价相同的，按技术评分得分自高到低顺序排列，由评标委员会确定中标候选人。</w:t>
      </w:r>
      <w:bookmarkEnd w:id="6"/>
      <w:r/>
      <w:r/>
    </w:p>
    <w:tbl>
      <w:tblPr>
        <w:tblStyle w:val="732"/>
        <w:tblW w:w="107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2"/>
        <w:gridCol w:w="1622"/>
        <w:gridCol w:w="7912"/>
        <w:gridCol w:w="672"/>
      </w:tblGrid>
      <w:tr>
        <w:trPr>
          <w:jc w:val="center"/>
          <w:trHeight w:val="355"/>
          <w:tblHeader/>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评分因素</w:t>
            </w:r>
            <w:r/>
          </w:p>
        </w:tc>
        <w:tc>
          <w:tcPr>
            <w:tcBorders>
              <w:top w:val="single" w:color="000000" w:sz="4" w:space="0"/>
              <w:left w:val="single" w:color="000000" w:sz="4" w:space="0"/>
              <w:bottom w:val="single" w:color="000000" w:sz="4" w:space="0"/>
              <w:right w:val="single" w:color="000000" w:sz="4" w:space="0"/>
            </w:tcBorders>
            <w:tcW w:w="7912" w:type="dxa"/>
            <w:vAlign w:val="center"/>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评分标准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分值</w:t>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562" w:type="dxa"/>
            <w:vAlign w:val="center"/>
            <w:textDirection w:val="lrTb"/>
            <w:noWrap w:val="false"/>
          </w:tcPr>
          <w:p>
            <w:pPr>
              <w:jc w:val="center"/>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w:t>
            </w:r>
            <w:r/>
          </w:p>
        </w:tc>
        <w:tc>
          <w:tcPr>
            <w:tcBorders>
              <w:top w:val="single" w:color="000000" w:sz="4" w:space="0"/>
              <w:left w:val="single" w:color="000000" w:sz="4" w:space="0"/>
              <w:bottom w:val="single" w:color="000000" w:sz="4" w:space="0"/>
              <w:right w:val="single" w:color="000000" w:sz="4" w:space="0"/>
            </w:tcBorders>
            <w:tcW w:w="1622" w:type="dxa"/>
            <w:vAlign w:val="center"/>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报价</w:t>
            </w:r>
            <w:r/>
          </w:p>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7912" w:type="dxa"/>
            <w:vAlign w:val="center"/>
            <w:textDirection w:val="lrTb"/>
            <w:noWrap w:val="false"/>
          </w:tcPr>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1.1满足招标文件要求投标最低价为评标基准值，评标基准值为满分。各家供应商的价格分值按照下列公式计算：投标报价得分=(评标基准值/投标报价)×</w:t>
            </w:r>
            <w:r>
              <w:rPr>
                <w:rFonts w:hint="eastAsia" w:ascii="宋体" w:hAnsi="宋体" w:eastAsia="宋体" w:cs="宋体"/>
                <w:color w:val="auto"/>
                <w:sz w:val="24"/>
                <w:highlight w:val="none"/>
                <w:lang w:val="en-US" w:eastAsia="zh-CN"/>
              </w:rPr>
              <w:t xml:space="preserve">20</w:t>
            </w:r>
            <w:r>
              <w:rPr>
                <w:rFonts w:hint="eastAsia" w:ascii="宋体" w:hAnsi="宋体" w:eastAsia="宋体" w:cs="宋体"/>
                <w:color w:val="auto"/>
                <w:sz w:val="24"/>
                <w:highlight w:val="none"/>
                <w:lang w:val="zh-CN"/>
              </w:rPr>
              <w:t xml:space="preserve">。（小数点后保留两位，第三位四舍五入） </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20</w:t>
            </w:r>
            <w:r/>
          </w:p>
        </w:tc>
      </w:tr>
      <w:tr>
        <w:trPr>
          <w:jc w:val="center"/>
          <w:trHeight w:val="1216"/>
        </w:trPr>
        <w:tc>
          <w:tcPr>
            <w:tcBorders>
              <w:top w:val="single" w:color="000000" w:sz="4" w:space="0"/>
              <w:left w:val="single" w:color="000000" w:sz="4" w:space="0"/>
              <w:right w:val="single" w:color="000000" w:sz="4" w:space="0"/>
            </w:tcBorders>
            <w:tcW w:w="562" w:type="dxa"/>
            <w:vAlign w:val="center"/>
            <w:vMerge w:val="restart"/>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2</w:t>
            </w:r>
            <w:r/>
          </w:p>
        </w:tc>
        <w:tc>
          <w:tcPr>
            <w:tcBorders>
              <w:left w:val="single" w:color="000000" w:sz="4" w:space="0"/>
              <w:right w:val="single" w:color="000000" w:sz="4" w:space="0"/>
            </w:tcBorders>
            <w:tcW w:w="1622" w:type="dxa"/>
            <w:vAlign w:val="center"/>
            <w:vMerge w:val="restart"/>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履约能力</w:t>
            </w:r>
            <w:r/>
          </w:p>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26</w:t>
            </w:r>
            <w:r>
              <w:rPr>
                <w:rFonts w:hint="eastAsia" w:ascii="宋体" w:hAnsi="宋体" w:eastAsia="宋体" w:cs="宋体"/>
                <w:color w:val="auto"/>
                <w:sz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7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lang w:val="en-US" w:eastAsia="zh-CN"/>
              </w:rPr>
              <w:t xml:space="preserve">2.1</w:t>
            </w:r>
            <w:r>
              <w:rPr>
                <w:rFonts w:ascii="SimSun" w:hAnsi="SimSun" w:eastAsia="SimSun" w:cs="SimSun"/>
                <w:color w:val="000000"/>
                <w:sz w:val="24"/>
              </w:rPr>
              <w:t xml:space="preserve">服务人员：</w:t>
            </w:r>
            <w:r>
              <w:rPr>
                <w:rFonts w:hint="eastAsia" w:ascii="宋体" w:hAnsi="宋体"/>
                <w:color w:val="auto"/>
                <w:sz w:val="24"/>
                <w:szCs w:val="24"/>
                <w:highlight w:val="none"/>
              </w:rPr>
              <w:t xml:space="preserve">拟投入本项目的服务人员不得少于6人，满足基本要求得6分， 每增加1人加1分，满分8分。</w:t>
            </w:r>
            <w:r>
              <w:rPr>
                <w:sz w:val="22"/>
              </w:rPr>
            </w:r>
            <w:r/>
          </w:p>
          <w:p>
            <w:pPr>
              <w:jc w:val="left"/>
              <w:spacing w:line="276" w:lineRule="auto"/>
              <w:widowControl/>
              <w:rPr>
                <w:rFonts w:hint="eastAsia" w:ascii="宋体" w:hAnsi="宋体"/>
                <w:color w:val="auto"/>
                <w:sz w:val="24"/>
                <w:szCs w:val="24"/>
                <w:highlight w:val="none"/>
                <w:lang w:val="zh-CN"/>
              </w:rPr>
            </w:pPr>
            <w:r>
              <w:rPr>
                <w:rFonts w:hint="eastAsia" w:ascii="宋体" w:hAnsi="宋体"/>
                <w:color w:val="auto"/>
                <w:sz w:val="24"/>
                <w:szCs w:val="24"/>
                <w:highlight w:val="none"/>
              </w:rPr>
              <w:t xml:space="preserve">（提供项目人员一览表及项目成员身份证</w:t>
            </w:r>
            <w:r>
              <w:rPr>
                <w:rFonts w:hint="eastAsia" w:ascii="宋体" w:hAnsi="宋体"/>
                <w:color w:val="auto"/>
                <w:sz w:val="24"/>
                <w:szCs w:val="24"/>
                <w:highlight w:val="none"/>
                <w:lang w:val="en-US" w:eastAsia="zh-CN"/>
              </w:rPr>
              <w:t xml:space="preserve">扫描件</w:t>
            </w:r>
            <w:r>
              <w:rPr>
                <w:rFonts w:hint="eastAsia" w:ascii="宋体" w:hAnsi="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r>
      <w:tr>
        <w:trPr>
          <w:jc w:val="center"/>
          <w:trHeight w:val="1201"/>
        </w:trPr>
        <w:tc>
          <w:tcPr>
            <w:tcBorders>
              <w:left w:val="single" w:color="000000" w:sz="4" w:space="0"/>
              <w:right w:val="single" w:color="000000" w:sz="4" w:space="0"/>
            </w:tcBorders>
            <w:tcW w:w="562" w:type="dxa"/>
            <w:vAlign w:val="center"/>
            <w:vMerge w:val="continue"/>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left w:val="single" w:color="000000" w:sz="4" w:space="0"/>
              <w:right w:val="single" w:color="000000" w:sz="4" w:space="0"/>
            </w:tcBorders>
            <w:tcW w:w="1622" w:type="dxa"/>
            <w:vAlign w:val="center"/>
            <w:vMerge w:val="continue"/>
            <w:textDirection w:val="lrTb"/>
            <w:noWrap w:val="false"/>
          </w:tcPr>
          <w:p>
            <w:pPr>
              <w:jc w:val="center"/>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tc>
        <w:tc>
          <w:tcPr>
            <w:tcBorders>
              <w:top w:val="single" w:color="000000" w:sz="4" w:space="0"/>
              <w:left w:val="single" w:color="000000" w:sz="4" w:space="0"/>
              <w:bottom w:val="single" w:color="000000" w:sz="4" w:space="0"/>
              <w:right w:val="single" w:color="000000" w:sz="4" w:space="0"/>
            </w:tcBorders>
            <w:tcW w:w="791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lang w:val="en-US" w:eastAsia="zh-CN"/>
              </w:rPr>
              <w:t xml:space="preserve">2.2</w:t>
            </w:r>
            <w:r>
              <w:rPr>
                <w:rFonts w:ascii="SimSun" w:hAnsi="SimSun" w:eastAsia="SimSun" w:cs="SimSun"/>
                <w:color w:val="000000"/>
                <w:sz w:val="24"/>
              </w:rPr>
              <w:t xml:space="preserve">运输车辆：</w:t>
            </w:r>
            <w:r>
              <w:rPr>
                <w:rFonts w:hint="eastAsia" w:ascii="宋体" w:hAnsi="宋体"/>
                <w:color w:val="auto"/>
                <w:sz w:val="24"/>
                <w:szCs w:val="24"/>
                <w:highlight w:val="none"/>
                <w:lang w:val="zh-CN"/>
              </w:rPr>
              <w:t xml:space="preserve">供应商拟投入用于回收运输的货车1辆得</w:t>
            </w:r>
            <w:r>
              <w:rPr>
                <w:rFonts w:hint="eastAsia" w:ascii="宋体" w:hAnsi="宋体"/>
                <w:color w:val="auto"/>
                <w:sz w:val="24"/>
                <w:szCs w:val="24"/>
                <w:highlight w:val="none"/>
              </w:rPr>
              <w:t xml:space="preserve">4</w:t>
            </w:r>
            <w:r>
              <w:rPr>
                <w:rFonts w:hint="eastAsia" w:ascii="宋体" w:hAnsi="宋体"/>
                <w:color w:val="auto"/>
                <w:sz w:val="24"/>
                <w:szCs w:val="24"/>
                <w:highlight w:val="none"/>
                <w:lang w:val="zh-CN"/>
              </w:rPr>
              <w:t xml:space="preserve">分，最高得</w:t>
            </w:r>
            <w:r>
              <w:rPr>
                <w:rFonts w:hint="eastAsia" w:ascii="宋体" w:hAnsi="宋体"/>
                <w:color w:val="auto"/>
                <w:sz w:val="24"/>
                <w:szCs w:val="24"/>
                <w:highlight w:val="none"/>
              </w:rPr>
              <w:t xml:space="preserve">8</w:t>
            </w:r>
            <w:r>
              <w:rPr>
                <w:rFonts w:hint="eastAsia" w:ascii="宋体" w:hAnsi="宋体"/>
                <w:color w:val="auto"/>
                <w:sz w:val="24"/>
                <w:szCs w:val="24"/>
                <w:highlight w:val="none"/>
                <w:lang w:val="zh-CN"/>
              </w:rPr>
              <w:t xml:space="preserve">分。</w:t>
            </w:r>
            <w:r>
              <w:rPr>
                <w:sz w:val="22"/>
              </w:rPr>
            </w:r>
            <w:r/>
          </w:p>
          <w:p>
            <w:pPr>
              <w:jc w:val="left"/>
              <w:spacing w:line="276" w:lineRule="auto"/>
              <w:widowControl/>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自有车辆的提供购买发票及行驶证扫描件加盖公章，行驶证单位名称与供应商单位名称一致；租赁车辆的提供租赁合同(租赁期限应覆盖本项目服务期)、购买发票及行驶证扫描件加盖公章；未提供或提供不全的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r>
      <w:tr>
        <w:trPr>
          <w:jc w:val="center"/>
          <w:trHeight w:val="1456"/>
        </w:trPr>
        <w:tc>
          <w:tcPr>
            <w:tcBorders>
              <w:left w:val="single" w:color="000000" w:sz="4" w:space="0"/>
              <w:right w:val="single" w:color="000000" w:sz="4" w:space="0"/>
            </w:tcBorders>
            <w:tcW w:w="562" w:type="dxa"/>
            <w:vAlign w:val="center"/>
            <w:vMerge w:val="continue"/>
            <w:textDirection w:val="lrTb"/>
            <w:noWrap w:val="false"/>
          </w:tcPr>
          <w:p>
            <w:pPr>
              <w:jc w:val="center"/>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tc>
        <w:tc>
          <w:tcPr>
            <w:tcBorders>
              <w:left w:val="single" w:color="000000" w:sz="4" w:space="0"/>
              <w:right w:val="single" w:color="000000" w:sz="4" w:space="0"/>
            </w:tcBorders>
            <w:tcW w:w="1622" w:type="dxa"/>
            <w:vAlign w:val="center"/>
            <w:vMerge w:val="continue"/>
            <w:textDirection w:val="lrTb"/>
            <w:noWrap w:val="false"/>
          </w:tcPr>
          <w:p>
            <w:pPr>
              <w:jc w:val="center"/>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tc>
        <w:tc>
          <w:tcPr>
            <w:tcBorders>
              <w:top w:val="single" w:color="000000" w:sz="4" w:space="0"/>
              <w:left w:val="single" w:color="000000" w:sz="4" w:space="0"/>
              <w:bottom w:val="single" w:color="000000" w:sz="4" w:space="0"/>
              <w:right w:val="single" w:color="000000" w:sz="4" w:space="0"/>
            </w:tcBorders>
            <w:tcW w:w="7912"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hint="eastAsia" w:ascii="宋体" w:hAnsi="宋体"/>
                <w:color w:val="auto"/>
                <w:sz w:val="24"/>
                <w:szCs w:val="24"/>
                <w:highlight w:val="none"/>
                <w:lang w:val="en-US" w:eastAsia="zh-CN"/>
              </w:rPr>
              <w:t xml:space="preserve">2.3</w:t>
            </w:r>
            <w:r>
              <w:rPr>
                <w:rFonts w:ascii="SimSun" w:hAnsi="SimSun" w:eastAsia="SimSun" w:cs="SimSun"/>
                <w:color w:val="000000"/>
                <w:sz w:val="24"/>
              </w:rPr>
              <w:t xml:space="preserve">废弃物处置：①供应商与农药包装物处置资质的公司有意向性处置协议的，得5分。（提供处置协议扫描件）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②供应商与废旧回收公司签订有废旧农膜回收意向性协议的，得5分。（提供相关协议扫描件）</w:t>
            </w:r>
            <w:r>
              <w:rPr>
                <w:sz w:val="22"/>
              </w:rPr>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r>
      <w:tr>
        <w:trPr>
          <w:jc w:val="center"/>
          <w:trHeight w:val="1430"/>
        </w:trPr>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w:t>
            </w:r>
            <w:r/>
          </w:p>
        </w:tc>
        <w:tc>
          <w:tcPr>
            <w:tcBorders>
              <w:left w:val="single" w:color="000000" w:sz="4" w:space="0"/>
              <w:right w:val="single" w:color="000000" w:sz="4" w:space="0"/>
            </w:tcBorders>
            <w:tcW w:w="1622" w:type="dxa"/>
            <w:vAlign w:val="center"/>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业绩</w:t>
            </w:r>
            <w:r/>
          </w:p>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7912" w:type="dxa"/>
            <w:vAlign w:val="center"/>
            <w:textDirection w:val="lrTb"/>
            <w:noWrap w:val="false"/>
          </w:tcPr>
          <w:p>
            <w:pP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3.1供应商业绩：提供自20</w:t>
            </w:r>
            <w:r>
              <w:rPr>
                <w:rFonts w:hint="eastAsia" w:ascii="宋体" w:hAnsi="宋体" w:eastAsia="宋体" w:cs="宋体"/>
                <w:color w:val="auto"/>
                <w:sz w:val="24"/>
                <w:highlight w:val="none"/>
                <w:lang w:val="en-US" w:eastAsia="zh-CN"/>
              </w:rPr>
              <w:t xml:space="preserve">22</w:t>
            </w:r>
            <w:r>
              <w:rPr>
                <w:rFonts w:hint="eastAsia" w:ascii="宋体" w:hAnsi="宋体" w:eastAsia="宋体" w:cs="宋体"/>
                <w:color w:val="auto"/>
                <w:sz w:val="24"/>
                <w:highlight w:val="none"/>
                <w:lang w:val="zh-CN"/>
              </w:rPr>
              <w:t xml:space="preserve">年1月1日以来类似</w:t>
            </w:r>
            <w:r>
              <w:rPr>
                <w:rFonts w:hint="eastAsia" w:ascii="宋体" w:hAnsi="宋体" w:eastAsia="宋体" w:cs="宋体"/>
                <w:color w:val="auto"/>
                <w:sz w:val="24"/>
                <w:highlight w:val="none"/>
                <w:lang w:val="en-US" w:eastAsia="zh-CN"/>
              </w:rPr>
              <w:t xml:space="preserve">服务</w:t>
            </w:r>
            <w:r>
              <w:rPr>
                <w:rFonts w:hint="eastAsia" w:ascii="宋体" w:hAnsi="宋体" w:eastAsia="宋体" w:cs="宋体"/>
                <w:color w:val="auto"/>
                <w:sz w:val="24"/>
                <w:highlight w:val="none"/>
                <w:lang w:val="zh-CN"/>
              </w:rPr>
              <w:t xml:space="preserve">业绩，每提供一个业绩得3分，最高得</w:t>
            </w:r>
            <w:r>
              <w:rPr>
                <w:rFonts w:hint="eastAsia" w:ascii="宋体" w:hAnsi="宋体" w:eastAsia="宋体" w:cs="宋体"/>
                <w:color w:val="auto"/>
                <w:sz w:val="24"/>
                <w:highlight w:val="none"/>
                <w:lang w:val="en-US" w:eastAsia="zh-CN"/>
              </w:rPr>
              <w:t xml:space="preserve">9</w:t>
            </w:r>
            <w:r>
              <w:rPr>
                <w:rFonts w:hint="eastAsia" w:ascii="宋体" w:hAnsi="宋体" w:eastAsia="宋体" w:cs="宋体"/>
                <w:color w:val="auto"/>
                <w:sz w:val="24"/>
                <w:highlight w:val="none"/>
                <w:lang w:val="zh-CN"/>
              </w:rPr>
              <w:t xml:space="preserve">分。（提供合同复印件，时间以合同签订日期为准，提供的合同等证明材料无法反映相关数据和内容的或未提供的，不得分）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9</w:t>
            </w:r>
            <w:r/>
          </w:p>
        </w:tc>
      </w:tr>
      <w:tr>
        <w:trPr>
          <w:jc w:val="center"/>
          <w:trHeight w:val="2022"/>
        </w:trPr>
        <w:tc>
          <w:tcPr>
            <w:tcBorders>
              <w:left w:val="single" w:color="000000" w:sz="4" w:space="0"/>
              <w:right w:val="single" w:color="000000" w:sz="4" w:space="0"/>
            </w:tcBorders>
            <w:tcW w:w="56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p>
        </w:tc>
        <w:tc>
          <w:tcPr>
            <w:tcBorders>
              <w:left w:val="single" w:color="000000" w:sz="4" w:space="0"/>
              <w:right w:val="single" w:color="000000" w:sz="4" w:space="0"/>
            </w:tcBorders>
            <w:tcW w:w="1622" w:type="dxa"/>
            <w:vAlign w:val="center"/>
            <w:textDirection w:val="lrTb"/>
            <w:noWrap w:val="false"/>
          </w:tcPr>
          <w:p>
            <w:pPr>
              <w:jc w:val="center"/>
              <w:rPr>
                <w:rFonts w:hint="eastAsia" w:ascii="宋体" w:hAnsi="宋体" w:cs="仿宋"/>
                <w:color w:val="auto"/>
                <w:sz w:val="24"/>
                <w:highlight w:val="none"/>
                <w:lang w:val="en-US" w:eastAsia="zh-CN"/>
              </w:rPr>
            </w:pPr>
            <w:r>
              <w:rPr>
                <w:rFonts w:hint="eastAsia" w:ascii="宋体" w:hAnsi="宋体" w:cs="仿宋"/>
                <w:color w:val="auto"/>
                <w:sz w:val="24"/>
                <w:highlight w:val="none"/>
                <w:lang w:val="en-US" w:eastAsia="zh-CN"/>
              </w:rPr>
              <w:t xml:space="preserve">整体实施</w:t>
            </w:r>
            <w:r/>
          </w:p>
          <w:p>
            <w:pPr>
              <w:jc w:val="center"/>
              <w:rPr>
                <w:rFonts w:hint="default" w:ascii="宋体" w:hAnsi="宋体" w:cs="仿宋"/>
                <w:color w:val="auto"/>
                <w:sz w:val="24"/>
                <w:highlight w:val="none"/>
                <w:lang w:val="en-US" w:eastAsia="zh-CN"/>
              </w:rPr>
            </w:pPr>
            <w:r>
              <w:rPr>
                <w:rFonts w:hint="eastAsia" w:ascii="宋体" w:hAnsi="宋体" w:cs="仿宋"/>
                <w:color w:val="auto"/>
                <w:sz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7912" w:type="dxa"/>
            <w:vAlign w:val="top"/>
            <w:textDirection w:val="lrTb"/>
            <w:noWrap w:val="false"/>
          </w:tcPr>
          <w:p>
            <w:pPr>
              <w:jc w:val="left"/>
              <w:spacing w:line="276" w:lineRule="auto"/>
              <w:widowControl/>
              <w:rPr>
                <w:rFonts w:hint="eastAsia" w:ascii="宋体" w:hAnsi="宋体" w:cs="仿宋"/>
                <w:color w:val="auto"/>
                <w:sz w:val="24"/>
                <w:highlight w:val="none"/>
                <w:lang w:val="en-US" w:eastAsia="zh-CN"/>
              </w:rPr>
            </w:pPr>
            <w:r>
              <w:rPr>
                <w:rFonts w:hint="eastAsia" w:ascii="宋体" w:hAnsi="宋体"/>
                <w:color w:val="auto"/>
                <w:sz w:val="24"/>
                <w:szCs w:val="24"/>
                <w:highlight w:val="none"/>
                <w:lang w:val="en-US" w:eastAsia="zh-CN"/>
              </w:rPr>
              <w:t xml:space="preserve">4.1</w:t>
            </w:r>
            <w:r>
              <w:rPr>
                <w:rFonts w:hint="eastAsia" w:ascii="宋体" w:hAnsi="宋体"/>
                <w:color w:val="auto"/>
                <w:sz w:val="24"/>
                <w:szCs w:val="24"/>
                <w:highlight w:val="none"/>
              </w:rPr>
              <w:t xml:space="preserve">根据供应商整体工作</w:t>
            </w:r>
            <w:r>
              <w:rPr>
                <w:rFonts w:hint="eastAsia" w:ascii="宋体" w:hAnsi="宋体"/>
                <w:color w:val="auto"/>
                <w:sz w:val="24"/>
                <w:szCs w:val="24"/>
                <w:highlight w:val="none"/>
                <w:lang w:val="en-US" w:eastAsia="zh-CN"/>
              </w:rPr>
              <w:t xml:space="preserve">实施方案</w:t>
            </w:r>
            <w:r>
              <w:rPr>
                <w:rFonts w:hint="eastAsia" w:ascii="宋体" w:hAnsi="宋体"/>
                <w:color w:val="auto"/>
                <w:sz w:val="24"/>
                <w:szCs w:val="24"/>
                <w:highlight w:val="none"/>
              </w:rPr>
              <w:t xml:space="preserve">评分：整体</w:t>
            </w:r>
            <w:r>
              <w:rPr>
                <w:rFonts w:hint="eastAsia" w:ascii="宋体" w:hAnsi="宋体"/>
                <w:color w:val="auto"/>
                <w:sz w:val="24"/>
                <w:szCs w:val="24"/>
                <w:highlight w:val="none"/>
                <w:lang w:val="en-US" w:eastAsia="zh-CN"/>
              </w:rPr>
              <w:t xml:space="preserve">工作</w:t>
            </w:r>
            <w:r>
              <w:rPr>
                <w:rFonts w:hint="eastAsia" w:ascii="宋体" w:hAnsi="宋体"/>
                <w:color w:val="auto"/>
                <w:sz w:val="24"/>
                <w:szCs w:val="24"/>
                <w:highlight w:val="none"/>
              </w:rPr>
              <w:t xml:space="preserve">安排合理，项目组人员分工明确，关键线路明晰，节点划分搭接合理，有详细可行的保证措施</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得</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分；整体</w:t>
            </w:r>
            <w:r>
              <w:rPr>
                <w:rFonts w:hint="eastAsia" w:ascii="宋体" w:hAnsi="宋体"/>
                <w:color w:val="auto"/>
                <w:sz w:val="24"/>
                <w:szCs w:val="24"/>
                <w:highlight w:val="none"/>
                <w:lang w:val="en-US" w:eastAsia="zh-CN"/>
              </w:rPr>
              <w:t xml:space="preserve">工作</w:t>
            </w:r>
            <w:r>
              <w:rPr>
                <w:rFonts w:hint="eastAsia" w:ascii="宋体" w:hAnsi="宋体"/>
                <w:color w:val="auto"/>
                <w:sz w:val="24"/>
                <w:szCs w:val="24"/>
                <w:highlight w:val="none"/>
              </w:rPr>
              <w:t xml:space="preserve">安排较合理，项目组人员分工较明确，关键线路较明晰，节点划分搭接较合理</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分；整体</w:t>
            </w:r>
            <w:r>
              <w:rPr>
                <w:rFonts w:hint="eastAsia" w:ascii="宋体" w:hAnsi="宋体"/>
                <w:color w:val="auto"/>
                <w:sz w:val="24"/>
                <w:szCs w:val="24"/>
                <w:highlight w:val="none"/>
                <w:lang w:val="en-US" w:eastAsia="zh-CN"/>
              </w:rPr>
              <w:t xml:space="preserve">工作</w:t>
            </w:r>
            <w:r>
              <w:rPr>
                <w:rFonts w:hint="eastAsia" w:ascii="宋体" w:hAnsi="宋体"/>
                <w:color w:val="auto"/>
                <w:sz w:val="24"/>
                <w:szCs w:val="24"/>
                <w:highlight w:val="none"/>
              </w:rPr>
              <w:t xml:space="preserve">安排基本合理，项目组人员分工基本明确，关键线路基本明晰，有基本可行的保证措施</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未提供</w:t>
            </w:r>
            <w:r>
              <w:rPr>
                <w:rFonts w:hint="eastAsia" w:ascii="宋体" w:hAnsi="宋体"/>
                <w:color w:val="auto"/>
                <w:sz w:val="24"/>
                <w:szCs w:val="24"/>
                <w:highlight w:val="none"/>
              </w:rPr>
              <w:t xml:space="preserve">的不得分。</w:t>
            </w:r>
            <w:r/>
          </w:p>
        </w:tc>
        <w:tc>
          <w:tcPr>
            <w:tcBorders>
              <w:top w:val="single" w:color="auto" w:sz="4" w:space="0"/>
              <w:left w:val="none" w:color="000000" w:sz="4" w:space="0"/>
              <w:bottom w:val="single" w:color="auto" w:sz="4" w:space="0"/>
              <w:right w:val="single" w:color="auto" w:sz="4" w:space="0"/>
            </w:tcBorders>
            <w:tcW w:w="67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r>
      <w:tr>
        <w:trPr>
          <w:jc w:val="center"/>
          <w:trHeight w:val="1228"/>
        </w:trPr>
        <w:tc>
          <w:tcPr>
            <w:tcBorders>
              <w:left w:val="single" w:color="000000" w:sz="4" w:space="0"/>
              <w:right w:val="single" w:color="000000" w:sz="4" w:space="0"/>
            </w:tcBorders>
            <w:tcW w:w="56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5</w:t>
            </w:r>
            <w:r/>
          </w:p>
        </w:tc>
        <w:tc>
          <w:tcPr>
            <w:tcBorders>
              <w:left w:val="single" w:color="000000" w:sz="4" w:space="0"/>
              <w:right w:val="single" w:color="000000" w:sz="4" w:space="0"/>
            </w:tcBorders>
            <w:tcW w:w="1622" w:type="dxa"/>
            <w:vAlign w:val="center"/>
            <w:textDirection w:val="lrTb"/>
            <w:noWrap w:val="false"/>
          </w:tcPr>
          <w:p>
            <w:pPr>
              <w:jc w:val="center"/>
              <w:rPr>
                <w:rFonts w:hint="eastAsia" w:ascii="宋体" w:hAnsi="宋体" w:cs="仿宋"/>
                <w:color w:val="auto"/>
                <w:sz w:val="24"/>
                <w:highlight w:val="none"/>
                <w:lang w:val="en-US" w:eastAsia="zh-CN"/>
              </w:rPr>
            </w:pPr>
            <w:r>
              <w:rPr>
                <w:rFonts w:hint="eastAsia" w:ascii="宋体" w:hAnsi="宋体" w:cs="仿宋"/>
                <w:color w:val="auto"/>
                <w:sz w:val="24"/>
                <w:highlight w:val="none"/>
                <w:lang w:val="en-US" w:eastAsia="zh-CN"/>
              </w:rPr>
              <w:t xml:space="preserve">进度保障</w:t>
            </w:r>
            <w:r/>
          </w:p>
          <w:p>
            <w:pPr>
              <w:jc w:val="center"/>
              <w:rPr>
                <w:rFonts w:hint="default" w:ascii="宋体" w:hAnsi="宋体" w:cs="仿宋" w:eastAsiaTheme="minorEastAsia"/>
                <w:color w:val="auto"/>
                <w:sz w:val="24"/>
                <w:highlight w:val="none"/>
                <w:lang w:val="en-US" w:eastAsia="zh-CN"/>
              </w:rPr>
            </w:pPr>
            <w:r>
              <w:rPr>
                <w:rFonts w:hint="eastAsia" w:ascii="宋体" w:hAnsi="宋体" w:cs="仿宋"/>
                <w:color w:val="auto"/>
                <w:sz w:val="24"/>
                <w:highlight w:val="none"/>
                <w:lang w:val="en-US" w:eastAsia="zh-CN"/>
              </w:rPr>
              <w:t xml:space="preserve">（10分）</w:t>
            </w:r>
            <w:r/>
          </w:p>
        </w:tc>
        <w:tc>
          <w:tcPr>
            <w:tcBorders>
              <w:top w:val="single" w:color="auto" w:sz="4" w:space="0"/>
              <w:left w:val="single" w:color="auto" w:sz="4" w:space="0"/>
              <w:bottom w:val="single" w:color="auto" w:sz="4" w:space="0"/>
              <w:right w:val="single" w:color="auto" w:sz="4" w:space="0"/>
            </w:tcBorders>
            <w:tcW w:w="7912" w:type="dxa"/>
            <w:vAlign w:val="center"/>
            <w:textDirection w:val="lrTb"/>
            <w:noWrap w:val="false"/>
          </w:tcPr>
          <w:p>
            <w:pPr>
              <w:jc w:val="left"/>
              <w:spacing w:line="276" w:lineRule="auto"/>
              <w:widowControl/>
              <w:rPr>
                <w:rFonts w:hint="eastAsia" w:ascii="宋体" w:hAnsi="宋体" w:cs="仿宋"/>
                <w:color w:val="auto"/>
                <w:sz w:val="24"/>
                <w:highlight w:val="none"/>
                <w:lang w:val="en-US" w:eastAsia="zh-CN"/>
              </w:rPr>
            </w:pPr>
            <w:r>
              <w:rPr>
                <w:rFonts w:hint="eastAsia" w:ascii="宋体" w:hAnsi="宋体"/>
                <w:color w:val="auto"/>
                <w:sz w:val="24"/>
                <w:szCs w:val="24"/>
                <w:highlight w:val="none"/>
                <w:lang w:val="en-US" w:eastAsia="zh-CN"/>
              </w:rPr>
              <w:t xml:space="preserve">5.1</w:t>
            </w:r>
            <w:r>
              <w:rPr>
                <w:rFonts w:hint="eastAsia" w:ascii="宋体" w:hAnsi="宋体"/>
                <w:color w:val="auto"/>
                <w:sz w:val="24"/>
                <w:szCs w:val="24"/>
                <w:highlight w:val="none"/>
              </w:rPr>
              <w:t xml:space="preserve">根据供应商提供的进度计划</w:t>
            </w:r>
            <w:r>
              <w:rPr>
                <w:rFonts w:hint="eastAsia" w:ascii="宋体" w:hAnsi="宋体"/>
                <w:color w:val="auto"/>
                <w:sz w:val="24"/>
                <w:szCs w:val="24"/>
                <w:highlight w:val="none"/>
                <w:lang w:val="en-US" w:eastAsia="zh-CN"/>
              </w:rPr>
              <w:t xml:space="preserve">安排</w:t>
            </w:r>
            <w:r>
              <w:rPr>
                <w:rFonts w:hint="eastAsia" w:ascii="宋体" w:hAnsi="宋体"/>
                <w:color w:val="auto"/>
                <w:sz w:val="24"/>
                <w:szCs w:val="24"/>
                <w:highlight w:val="none"/>
              </w:rPr>
              <w:t xml:space="preserve">、服务保障、重难点分析进行评分：方案进度、服务有保障，重难点分析全面得10分；较有保障，分析较全面得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进度计划安排</w:t>
            </w:r>
            <w:r>
              <w:rPr>
                <w:rFonts w:hint="eastAsia" w:ascii="宋体" w:hAnsi="宋体"/>
                <w:color w:val="auto"/>
                <w:sz w:val="24"/>
                <w:szCs w:val="24"/>
                <w:highlight w:val="none"/>
              </w:rPr>
              <w:t xml:space="preserve">方案一般</w:t>
            </w:r>
            <w:r>
              <w:rPr>
                <w:rFonts w:hint="eastAsia" w:ascii="宋体" w:hAnsi="宋体"/>
                <w:color w:val="auto"/>
                <w:sz w:val="24"/>
                <w:szCs w:val="24"/>
                <w:highlight w:val="none"/>
                <w:lang w:eastAsia="zh-CN"/>
              </w:rPr>
              <w:t xml:space="preserve">的</w:t>
            </w:r>
            <w:r>
              <w:rPr>
                <w:rFonts w:hint="eastAsia" w:ascii="宋体" w:hAnsi="宋体"/>
                <w:color w:val="auto"/>
                <w:sz w:val="24"/>
                <w:szCs w:val="24"/>
                <w:highlight w:val="none"/>
              </w:rPr>
              <w:t xml:space="preserve">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未提供</w:t>
            </w:r>
            <w:r>
              <w:rPr>
                <w:rFonts w:hint="eastAsia" w:ascii="宋体" w:hAnsi="宋体"/>
                <w:color w:val="auto"/>
                <w:sz w:val="24"/>
                <w:szCs w:val="24"/>
                <w:highlight w:val="none"/>
              </w:rPr>
              <w:t xml:space="preserve">不得分。 </w:t>
            </w:r>
            <w:r/>
          </w:p>
        </w:tc>
        <w:tc>
          <w:tcPr>
            <w:tcBorders>
              <w:top w:val="single" w:color="auto" w:sz="4" w:space="0"/>
              <w:left w:val="none" w:color="000000" w:sz="4" w:space="0"/>
              <w:bottom w:val="single" w:color="auto" w:sz="4" w:space="0"/>
              <w:right w:val="single" w:color="auto" w:sz="4" w:space="0"/>
            </w:tcBorders>
            <w:tcW w:w="67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r>
      <w:tr>
        <w:trPr>
          <w:jc w:val="center"/>
          <w:trHeight w:val="1322"/>
        </w:trPr>
        <w:tc>
          <w:tcPr>
            <w:tcBorders>
              <w:left w:val="single" w:color="000000" w:sz="4" w:space="0"/>
              <w:right w:val="single" w:color="000000" w:sz="4" w:space="0"/>
            </w:tcBorders>
            <w:tcW w:w="562" w:type="dxa"/>
            <w:vAlign w:val="center"/>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6</w:t>
            </w:r>
            <w:r/>
          </w:p>
        </w:tc>
        <w:tc>
          <w:tcPr>
            <w:tcBorders>
              <w:left w:val="single" w:color="000000" w:sz="4" w:space="0"/>
              <w:right w:val="single" w:color="000000" w:sz="4" w:space="0"/>
            </w:tcBorders>
            <w:tcW w:w="1622" w:type="dxa"/>
            <w:vAlign w:val="center"/>
            <w:textDirection w:val="lrTb"/>
            <w:noWrap w:val="false"/>
          </w:tcPr>
          <w:p>
            <w:pPr>
              <w:jc w:val="center"/>
              <w:rPr>
                <w:rFonts w:hint="eastAsia" w:ascii="宋体" w:hAnsi="宋体" w:cs="仿宋"/>
                <w:color w:val="auto"/>
                <w:sz w:val="24"/>
                <w:highlight w:val="none"/>
                <w:lang w:val="en-US" w:eastAsia="zh-CN"/>
              </w:rPr>
            </w:pPr>
            <w:r>
              <w:rPr>
                <w:rFonts w:hint="eastAsia" w:ascii="宋体" w:hAnsi="宋体" w:cs="仿宋"/>
                <w:color w:val="auto"/>
                <w:sz w:val="24"/>
                <w:highlight w:val="none"/>
                <w:lang w:val="en-US" w:eastAsia="zh-CN"/>
              </w:rPr>
              <w:t xml:space="preserve">内部管理制度</w:t>
            </w:r>
            <w:r/>
          </w:p>
          <w:p>
            <w:pPr>
              <w:jc w:val="center"/>
              <w:rPr>
                <w:rFonts w:ascii="宋体" w:hAnsi="宋体" w:eastAsia="宋体" w:cs="宋体"/>
                <w:color w:val="auto"/>
                <w:sz w:val="24"/>
                <w:highlight w:val="none"/>
                <w:lang w:val="zh-CN"/>
              </w:rP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分)</w:t>
            </w:r>
            <w:r/>
          </w:p>
        </w:tc>
        <w:tc>
          <w:tcPr>
            <w:tcBorders>
              <w:top w:val="single" w:color="auto" w:sz="4" w:space="0"/>
              <w:left w:val="single" w:color="auto" w:sz="4" w:space="0"/>
              <w:bottom w:val="single" w:color="auto" w:sz="4" w:space="0"/>
              <w:right w:val="single" w:color="auto" w:sz="4" w:space="0"/>
            </w:tcBorders>
            <w:tcW w:w="7912" w:type="dxa"/>
            <w:vAlign w:val="center"/>
            <w:textDirection w:val="lrTb"/>
            <w:noWrap w:val="false"/>
          </w:tcPr>
          <w:p>
            <w:pPr>
              <w:jc w:val="left"/>
              <w:spacing w:line="276" w:lineRule="auto"/>
              <w:widowControl/>
              <w:rPr>
                <w:rFonts w:hint="default" w:ascii="宋体" w:hAnsi="宋体" w:cs="宋体" w:eastAsiaTheme="minorEastAsia"/>
                <w:color w:val="auto"/>
                <w:sz w:val="24"/>
                <w:highlight w:val="none"/>
                <w:lang w:val="en-US" w:eastAsia="zh-CN"/>
              </w:rPr>
            </w:pPr>
            <w:r>
              <w:rPr>
                <w:rFonts w:hint="eastAsia" w:ascii="宋体" w:hAnsi="宋体"/>
                <w:color w:val="auto"/>
                <w:sz w:val="24"/>
                <w:szCs w:val="24"/>
                <w:highlight w:val="none"/>
                <w:lang w:val="en-US" w:eastAsia="zh-CN"/>
              </w:rPr>
              <w:t xml:space="preserve">6.1</w:t>
            </w:r>
            <w:r>
              <w:rPr>
                <w:rFonts w:hint="eastAsia" w:ascii="宋体" w:hAnsi="宋体"/>
                <w:color w:val="auto"/>
                <w:sz w:val="24"/>
                <w:szCs w:val="24"/>
                <w:highlight w:val="none"/>
              </w:rPr>
              <w:t xml:space="preserve">根据供应商内部管理制度（</w:t>
            </w:r>
            <w:r>
              <w:rPr>
                <w:rFonts w:hint="eastAsia" w:ascii="宋体" w:hAnsi="宋体"/>
                <w:color w:val="auto"/>
                <w:sz w:val="24"/>
                <w:szCs w:val="24"/>
                <w:highlight w:val="none"/>
                <w:lang w:val="en-US" w:eastAsia="zh-CN"/>
              </w:rPr>
              <w:t xml:space="preserve">包含但不限于业务流程、</w:t>
            </w:r>
            <w:r>
              <w:rPr>
                <w:rFonts w:hint="eastAsia" w:ascii="宋体" w:hAnsi="宋体"/>
                <w:color w:val="auto"/>
                <w:sz w:val="24"/>
                <w:szCs w:val="24"/>
                <w:highlight w:val="none"/>
              </w:rPr>
              <w:t xml:space="preserve">质量、考核、培训、档案等）综合评分，管理制度齐全完善得</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rPr>
              <w:t xml:space="preserve">分，管理制度较齐全较完善得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分，管理制度一般得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未提供</w:t>
            </w:r>
            <w:r>
              <w:rPr>
                <w:rFonts w:hint="eastAsia" w:ascii="宋体" w:hAnsi="宋体"/>
                <w:color w:val="auto"/>
                <w:sz w:val="24"/>
                <w:szCs w:val="24"/>
                <w:highlight w:val="none"/>
              </w:rPr>
              <w:t xml:space="preserve">不得分。</w:t>
            </w:r>
            <w:r/>
          </w:p>
        </w:tc>
        <w:tc>
          <w:tcPr>
            <w:tcBorders>
              <w:top w:val="single" w:color="auto" w:sz="4" w:space="0"/>
              <w:left w:val="none" w:color="000000" w:sz="4" w:space="0"/>
              <w:bottom w:val="single" w:color="auto" w:sz="4" w:space="0"/>
              <w:right w:val="single" w:color="auto" w:sz="4" w:space="0"/>
            </w:tcBorders>
            <w:tcW w:w="67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10</w:t>
            </w:r>
            <w:r/>
          </w:p>
        </w:tc>
      </w:tr>
      <w:tr>
        <w:trPr>
          <w:jc w:val="center"/>
          <w:trHeight w:val="1644"/>
        </w:trPr>
        <w:tc>
          <w:tcPr>
            <w:tcBorders>
              <w:left w:val="single" w:color="000000" w:sz="4" w:space="0"/>
              <w:right w:val="single" w:color="000000" w:sz="4" w:space="0"/>
            </w:tcBorders>
            <w:tcW w:w="562" w:type="dxa"/>
            <w:vAlign w:val="center"/>
            <w:textDirection w:val="lrTb"/>
            <w:noWrap w:val="false"/>
          </w:tcPr>
          <w:p>
            <w:pPr>
              <w:jc w:val="center"/>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7</w:t>
            </w:r>
            <w:r/>
          </w:p>
        </w:tc>
        <w:tc>
          <w:tcPr>
            <w:tcBorders>
              <w:left w:val="single" w:color="000000" w:sz="4" w:space="0"/>
              <w:right w:val="single" w:color="000000" w:sz="4" w:space="0"/>
            </w:tcBorders>
            <w:tcW w:w="1622"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设备投入</w:t>
            </w:r>
            <w:r/>
          </w:p>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lang w:val="zh-CN"/>
              </w:rPr>
              <w:t xml:space="preserve">分）</w:t>
            </w:r>
            <w:r/>
          </w:p>
        </w:tc>
        <w:tc>
          <w:tcPr>
            <w:tcBorders>
              <w:top w:val="single" w:color="auto" w:sz="4" w:space="0"/>
              <w:left w:val="single" w:color="auto" w:sz="4" w:space="0"/>
              <w:right w:val="single" w:color="auto" w:sz="4" w:space="0"/>
            </w:tcBorders>
            <w:tcW w:w="7912" w:type="dxa"/>
            <w:vAlign w:val="center"/>
            <w:textDirection w:val="lrTb"/>
            <w:noWrap w:val="false"/>
          </w:tcPr>
          <w:p>
            <w:pPr>
              <w:jc w:val="left"/>
              <w:spacing w:line="276" w:lineRule="auto"/>
              <w:widowControl/>
              <w:rPr>
                <w:rFonts w:ascii="宋体" w:hAnsi="宋体" w:eastAsia="宋体" w:cs="宋体"/>
                <w:color w:val="auto"/>
                <w:sz w:val="24"/>
                <w:highlight w:val="none"/>
                <w:lang w:val="zh-CN"/>
              </w:rPr>
            </w:pPr>
            <w:r>
              <w:rPr>
                <w:rFonts w:hint="eastAsia" w:ascii="宋体" w:hAnsi="宋体"/>
                <w:color w:val="auto"/>
                <w:sz w:val="24"/>
                <w:szCs w:val="24"/>
                <w:highlight w:val="none"/>
                <w:lang w:val="en-US" w:eastAsia="zh-CN"/>
              </w:rPr>
              <w:t xml:space="preserve">7.1</w:t>
            </w:r>
            <w:r>
              <w:rPr>
                <w:rFonts w:hint="eastAsia" w:ascii="宋体" w:hAnsi="宋体"/>
                <w:color w:val="auto"/>
                <w:sz w:val="24"/>
                <w:szCs w:val="24"/>
                <w:highlight w:val="none"/>
              </w:rPr>
              <w:t xml:space="preserve">根据供应商投入基本设备完整性和合理性进行评分，设备包括但不限于宣传册、制度牌、集中收集桶、废弃物回收包装袋、封口机、铁框、推车、干粉灭火器等，相应设施设备数量、功能配备齐全得</w:t>
            </w: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分，较先进、较齐全得</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分，具备一般适用性得</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val="en-US" w:eastAsia="zh-CN"/>
              </w:rPr>
              <w:t xml:space="preserve">未提供</w:t>
            </w:r>
            <w:r>
              <w:rPr>
                <w:rFonts w:hint="eastAsia" w:ascii="宋体" w:hAnsi="宋体"/>
                <w:color w:val="auto"/>
                <w:sz w:val="24"/>
                <w:szCs w:val="24"/>
                <w:highlight w:val="none"/>
              </w:rPr>
              <w:t xml:space="preserve">不得分（提供设施设备清单、现场照片或购置发票）</w:t>
            </w:r>
            <w:r/>
          </w:p>
        </w:tc>
        <w:tc>
          <w:tcPr>
            <w:tcBorders>
              <w:top w:val="single" w:color="auto" w:sz="4" w:space="0"/>
              <w:left w:val="none" w:color="000000" w:sz="4" w:space="0"/>
              <w:right w:val="single" w:color="auto" w:sz="4" w:space="0"/>
            </w:tcBorders>
            <w:tcW w:w="67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r>
      <w:tr>
        <w:trPr>
          <w:jc w:val="center"/>
          <w:trHeight w:val="1644"/>
        </w:trPr>
        <w:tc>
          <w:tcPr>
            <w:tcBorders>
              <w:left w:val="single" w:color="000000" w:sz="4" w:space="0"/>
              <w:right w:val="single" w:color="000000" w:sz="4" w:space="0"/>
            </w:tcBorders>
            <w:tcW w:w="56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p>
        </w:tc>
        <w:tc>
          <w:tcPr>
            <w:tcBorders>
              <w:left w:val="single" w:color="000000" w:sz="4" w:space="0"/>
              <w:right w:val="single" w:color="000000" w:sz="4" w:space="0"/>
            </w:tcBorders>
            <w:tcW w:w="162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应急保障</w:t>
            </w:r>
            <w:r/>
          </w:p>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（7分）</w:t>
            </w:r>
            <w:r/>
          </w:p>
        </w:tc>
        <w:tc>
          <w:tcPr>
            <w:tcBorders>
              <w:top w:val="single" w:color="auto" w:sz="4" w:space="0"/>
              <w:left w:val="single" w:color="auto" w:sz="4" w:space="0"/>
              <w:right w:val="single" w:color="auto" w:sz="4" w:space="0"/>
            </w:tcBorders>
            <w:tcW w:w="7912" w:type="dxa"/>
            <w:vAlign w:val="center"/>
            <w:textDirection w:val="lrTb"/>
            <w:noWrap w:val="false"/>
          </w:tcPr>
          <w:p>
            <w:pPr>
              <w:jc w:val="left"/>
              <w:spacing w:line="276" w:lineRule="auto"/>
              <w:widowControl/>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8.1</w:t>
            </w:r>
            <w:r>
              <w:rPr>
                <w:rFonts w:hint="eastAsia" w:ascii="宋体" w:hAnsi="宋体"/>
                <w:color w:val="auto"/>
                <w:sz w:val="24"/>
                <w:szCs w:val="24"/>
                <w:highlight w:val="none"/>
                <w:lang w:val="zh-CN"/>
              </w:rPr>
              <w:t xml:space="preserve">对突击保障任务和突发问题的应急预案进行评分：突发情况应急预案科学合理，突击保障任务和突发问题处理措施全面完善详细的得</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lang w:val="zh-CN"/>
              </w:rPr>
              <w:t xml:space="preserve">分；突发情况应急预案合理，突击保障任务和突发问题处理措施详细可行的得</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lang w:val="zh-CN"/>
              </w:rPr>
              <w:t xml:space="preserve">分；突发情况应急预案可行，突击保障任务和突发问题处理措施可行但不够详细的得</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val="zh-CN"/>
              </w:rPr>
              <w:t xml:space="preserve">分；未提供方案的不得分。</w:t>
            </w:r>
            <w:r/>
          </w:p>
        </w:tc>
        <w:tc>
          <w:tcPr>
            <w:tcBorders>
              <w:top w:val="single" w:color="auto" w:sz="4" w:space="0"/>
              <w:left w:val="none" w:color="000000" w:sz="4" w:space="0"/>
              <w:right w:val="single" w:color="auto" w:sz="4" w:space="0"/>
            </w:tcBorders>
            <w:tcW w:w="672" w:type="dxa"/>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7</w:t>
            </w:r>
            <w:r/>
          </w:p>
        </w:tc>
      </w:tr>
      <w:tr>
        <w:trPr>
          <w:jc w:val="center"/>
          <w:trHeight w:val="584"/>
        </w:trPr>
        <w:tc>
          <w:tcPr>
            <w:tcBorders>
              <w:top w:val="single" w:color="000000" w:sz="4" w:space="0"/>
              <w:left w:val="single" w:color="000000" w:sz="4" w:space="0"/>
              <w:right w:val="single" w:color="000000" w:sz="4" w:space="0"/>
            </w:tcBorders>
            <w:tcW w:w="562" w:type="dxa"/>
            <w:vAlign w:val="center"/>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合计</w:t>
            </w:r>
            <w:r/>
          </w:p>
        </w:tc>
        <w:tc>
          <w:tcPr>
            <w:gridSpan w:val="3"/>
            <w:tcBorders>
              <w:top w:val="none" w:color="000000" w:sz="4" w:space="0"/>
              <w:left w:val="single" w:color="000000" w:sz="4" w:space="0"/>
              <w:right w:val="single" w:color="000000" w:sz="4" w:space="0"/>
            </w:tcBorders>
            <w:tcW w:w="10206" w:type="dxa"/>
            <w:vAlign w:val="center"/>
            <w:textDirection w:val="lrTb"/>
            <w:noWrap w:val="false"/>
          </w:tcPr>
          <w:p>
            <w:pPr>
              <w:jc w:val="center"/>
              <w:rPr>
                <w:rFonts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100分</w:t>
            </w:r>
            <w:r/>
          </w:p>
        </w:tc>
      </w:tr>
    </w:tbl>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1、所有认证、检测报告、证明和业绩均以有效的证明文件的复印件（扫描件）加盖公章。</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2、所有认证、检测报告、证明和业绩的单位名称须与供应商或制造商名称一致（以公章为准），否则不得分。</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3、若供应商提供虚假资料，一经查实作无效投标处理。</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4、对国家认定的节能产品和环保产品分别给予投标价的5%、5%价格扣除，用扣除后的价格参与评审（特别说明：节能、环保产品必须纳入“中国政府采购网http://www.ccgp.gov.cn”等官方网站“节能、环保产品查询系统”，且以提供的证书复印件为准）。</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5、小微企业的价格扣除</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（1）对小微企业生产的产品给予投标价的10%价格扣除，用扣除后的价格参与评审。</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享受10%价格扣除，用扣除后的价格参与评审。</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（3）小企业（含小型、微型企业）应当同时符合以下条件：</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①供应商为小企业，且符合中小企业划分标准；</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②提供本企业制造的货物、承担的工程或者服务，或者提供其他小企业制造的货物。如果提供的货物为大中型企业注册商标的货物，视同大中型企业。</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6、若供应商提供的认证证书、荣誉证书、专利是所投产品制造商的，请供应商与制造商在证书上加盖公章。</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7、残疾人福利单位价格扣除</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（1）本项目对残疾人福利性单位视同小型、微型企业，给予10%的价格扣除，用扣除后的价格参与评审。</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（2）残疾人福利单位需按照采购文件的要求提供《残疾人福利性单位声明函》。</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（3）残疾人福利单位标准请参照《关于促进残疾人就业政府采购政策的通知》（财库〔2017〕141号）。</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8、监狱和戒毒企业价格扣除</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（1）本项目对监狱和戒毒企业（简称监狱企业）视同小型、微型企业，给予10%的价格扣除，用扣除后的价格参与评审。</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spacing w:line="360" w:lineRule="auto"/>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（3）监狱企业标准请参照《关于政府采购支持监狱企业发展有关问题的通知》（财库[2014]68号）。</w:t>
      </w:r>
      <w:r/>
    </w:p>
    <w:p>
      <w:pPr>
        <w:spacing w:line="360" w:lineRule="auto"/>
        <w:rPr>
          <w:rFonts w:ascii="宋体" w:hAnsi="宋体" w:eastAsia="宋体" w:cs="宋体"/>
          <w:color w:val="auto"/>
          <w:sz w:val="20"/>
          <w:szCs w:val="22"/>
          <w:highlight w:val="none"/>
        </w:rPr>
      </w:pPr>
      <w:r>
        <w:rPr>
          <w:rFonts w:hint="eastAsia" w:ascii="宋体" w:hAnsi="宋体" w:eastAsia="宋体" w:cs="宋体"/>
          <w:color w:val="auto"/>
          <w:sz w:val="22"/>
          <w:szCs w:val="22"/>
          <w:highlight w:val="none"/>
        </w:rPr>
        <w:t xml:space="preserve">9、残疾人福利单位、监狱企业属于小型、微型企业的，不重复享受政策。</w:t>
      </w:r>
      <w:r/>
    </w:p>
    <w:p>
      <w:pPr>
        <w:rPr>
          <w:rFonts w:hint="eastAsia"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br w:type="page" w:clear="all"/>
      </w:r>
      <w:r/>
    </w:p>
    <w:p>
      <w:pPr>
        <w:jc w:val="center"/>
        <w:rPr>
          <w:rFonts w:ascii="宋体" w:hAnsi="宋体" w:eastAsia="宋体" w:cs="宋体"/>
          <w:b/>
          <w:bCs/>
          <w:color w:val="auto"/>
          <w:sz w:val="36"/>
          <w:szCs w:val="36"/>
          <w:highlight w:val="none"/>
          <w:lang w:val="zh-CN"/>
        </w:rPr>
      </w:pPr>
      <w:r>
        <w:rPr>
          <w:rFonts w:hint="eastAsia" w:ascii="宋体" w:hAnsi="宋体" w:eastAsia="宋体" w:cs="宋体"/>
          <w:b/>
          <w:bCs/>
          <w:color w:val="auto"/>
          <w:sz w:val="36"/>
          <w:szCs w:val="36"/>
          <w:highlight w:val="none"/>
          <w:lang w:val="zh-CN"/>
        </w:rPr>
        <w:t xml:space="preserve">第四章 </w:t>
      </w:r>
      <w:bookmarkStart w:id="7" w:name="_Hlk147842222"/>
      <w:r>
        <w:rPr>
          <w:rFonts w:hint="eastAsia" w:ascii="宋体" w:hAnsi="宋体" w:eastAsia="宋体" w:cs="宋体"/>
          <w:b/>
          <w:bCs/>
          <w:color w:val="auto"/>
          <w:sz w:val="36"/>
          <w:szCs w:val="36"/>
          <w:highlight w:val="none"/>
          <w:lang w:val="zh-CN"/>
        </w:rPr>
        <w:t xml:space="preserve"> 采购需求及要求</w:t>
      </w:r>
      <w:bookmarkEnd w:id="7"/>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南京市农药包装废弃物和废旧地膜回收处理实施指导意见》（宁农农〔2021〕7号）文件精神和省市农药包装废弃物考核的有关要求，开展我区农药包装废弃物与废旧地膜回收处置工作。栖霞区农业农村局积极落实工作，结合我区实际，现制定“2026年南京市栖霞区农药包装废弃物与废旧地膜回收处置”项目实施方案如下：</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一、实施范围</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该项目涉及栖霞区八卦洲街道、</w:t>
      </w:r>
      <w:r>
        <w:rPr>
          <w:rFonts w:hint="eastAsia" w:ascii="宋体" w:hAnsi="宋体" w:eastAsia="宋体" w:cs="宋体"/>
          <w:color w:val="auto"/>
          <w:sz w:val="24"/>
          <w:szCs w:val="24"/>
          <w:highlight w:val="none"/>
        </w:rPr>
        <w:t xml:space="preserve">龙潭街道（含西岗街道）。</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二、实施内容</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（一）2026年南京市栖霞区农药包装废弃物与废旧地膜回收处理</w:t>
      </w:r>
      <w:r>
        <w:rPr>
          <w:rFonts w:hint="eastAsia" w:ascii="宋体" w:hAnsi="宋体" w:eastAsia="宋体" w:cs="宋体"/>
          <w:color w:val="auto"/>
          <w:sz w:val="24"/>
          <w:szCs w:val="24"/>
          <w:highlight w:val="none"/>
        </w:rPr>
        <w:t xml:space="preserve">。项目以公开招标形式选定第三方提供农药包装废弃物与废旧地膜回收处置服务。依据审计情况，按照回收及处理的废弃物的量结算资金。</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1.基层回收点建立。</w:t>
      </w:r>
      <w:r>
        <w:rPr>
          <w:rFonts w:hint="eastAsia" w:ascii="宋体" w:hAnsi="宋体" w:eastAsia="宋体" w:cs="宋体"/>
          <w:color w:val="auto"/>
          <w:sz w:val="24"/>
          <w:szCs w:val="24"/>
          <w:highlight w:val="none"/>
        </w:rPr>
        <w:t xml:space="preserve">八卦洲街道与龙潭街道（含西岗街道）</w:t>
      </w:r>
      <w:r>
        <w:rPr>
          <w:rFonts w:hint="eastAsia" w:ascii="宋体" w:hAnsi="宋体" w:eastAsia="宋体" w:cs="宋体"/>
          <w:color w:val="auto"/>
          <w:sz w:val="24"/>
          <w:szCs w:val="24"/>
          <w:highlight w:val="none"/>
        </w:rPr>
        <w:t xml:space="preserve">各建一个基层回收点。</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2.农药包装废弃物与废旧地膜有偿收购。按照瓶、袋、支包装规格的不同，作价回收栖霞区范围内农药包装废弃物。</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3.农药包装废弃物与废旧地膜无害化处置。按相关程序委托生态环境部门认可具有资质的废弃物处置单位对收集打包的废弃物进行无害化处置，做好处置台账记录。</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4.农药包装废弃物与废旧地膜回收处置工作宣传培训。开展形式多样的农药包装废弃物回收宣传与培训工作，加强专业合作社、家庭农场和种植户对农药包装废弃物分类回收的意识。</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开展一次培训（培训人数不低于30 人次）。</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（二）采购人对项目建设任务完成情况、相关物料使用情况、设计目标实现情况等进行跟踪核查和财务审计。</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三、实施要求</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回收实施主体。通过购买服务形式，招标选定第三方回收实施主体，统一落实设点、收集、处置等运作工作，按照定点回收—分类整理—归集转运—无害化处置流程进行。回收实施主体需及时将收集的农药包装废弃物与废旧地膜转运至废弃物处置单位，并做好转运台账。同时按相关程序委托生态环境部门认可具有资质的废弃物处置单位对收集打包的废弃物进行无害化处置，做好处置台账。</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（二）基层回收点。基层回收点应设立农药包装废弃物与废旧地膜回收桶或集中回收箱，并按有关规定加强管理，不得露天堆放，远离水源、热源，具</w:t>
      </w:r>
      <w:r>
        <w:rPr>
          <w:rFonts w:hint="eastAsia" w:ascii="宋体" w:hAnsi="宋体" w:eastAsia="宋体" w:cs="宋体"/>
          <w:color w:val="auto"/>
          <w:sz w:val="24"/>
          <w:szCs w:val="24"/>
          <w:highlight w:val="none"/>
        </w:rPr>
        <w:t xml:space="preserve">备防扬散、防流失、防渗漏、防火灾等安全措施。需设立醒目标识，摆放回收设施分类回收，开具回收付款凭证、建立回收台账。回收点管理费用按照回收点实际建设费用的10% 进行支付。</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（三）农药包装废弃物有偿收购。按照瓶、袋、支包装规格的不同，作价回收栖霞区范围内农药包装废弃物。回收指导价为：①农药塑料瓶(附标签)：大包装（1kg 以上，含）0.5 元/只，小包装（1kg 以下）0.2 元/只；②农药铝箔袋（附标签）:大包装（1kg以上，含）0.5</w:t>
      </w:r>
      <w:r>
        <w:rPr>
          <w:rFonts w:hint="eastAsia" w:ascii="宋体" w:hAnsi="宋体" w:eastAsia="宋体" w:cs="宋体"/>
          <w:color w:val="auto"/>
          <w:sz w:val="24"/>
          <w:szCs w:val="24"/>
          <w:highlight w:val="none"/>
        </w:rPr>
        <w:t xml:space="preserve">元/只，小包装（1kg以下）0.1元/只；③农药针剂（附标签）0.1元/支；④没有标签的桶、瓶、袋不予计价。 </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（四）农药包装废弃物回收归集费标</w:t>
      </w:r>
      <w:r>
        <w:rPr>
          <w:rFonts w:hint="eastAsia" w:ascii="宋体" w:hAnsi="宋体" w:eastAsia="宋体" w:cs="宋体"/>
          <w:color w:val="auto"/>
          <w:sz w:val="24"/>
          <w:szCs w:val="24"/>
          <w:highlight w:val="none"/>
        </w:rPr>
        <w:t xml:space="preserve">准。按有偿回收总额的45%比例补贴，含集中回收、打包费用等。</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农药包装废弃物无害化处置费标准。由回收组织根据实际进度进行处置并支付相关费用。按相关程序委托生态环境部门认可具有资质的废弃物处置单位对收集打包的废弃物进行无害化处置，做好处置台账记录。</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废旧地膜费用标准。废旧地膜回收处置费为5.6元/kg（参照往年标准执行，含废旧地膜回收指导费1.6元/kg及处置费），由回收组织根据实际进度进行处置并支付相关费用，做好处置台账（包含往年未处置的废旧地膜回收）。</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（七）台账记录。加强农药包装废弃物与废旧地膜回收数量、转运归集、无害化处理等方面信息共享，收集、运输、处置等环节要建立台账制度，台账要清晰完整且保存两年以上。</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其他要求。回收主体必须回收栖霞区辖区内的瓶、袋、支等不同包装规格农药包装废弃物与废旧地膜，严禁收购栖霞区外或本辖区非农药包装废弃物与废旧地膜混杂充数，一经查实，取消回收主体资格，收回财政资金。</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四、经费预算</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（一）资金来源。</w:t>
      </w:r>
      <w:r>
        <w:rPr>
          <w:rFonts w:hint="eastAsia" w:ascii="宋体" w:hAnsi="宋体" w:eastAsia="宋体" w:cs="宋体"/>
          <w:color w:val="auto"/>
          <w:sz w:val="24"/>
          <w:szCs w:val="24"/>
          <w:highlight w:val="none"/>
        </w:rPr>
        <w:t xml:space="preserve">项目</w:t>
      </w:r>
      <w:r>
        <w:rPr>
          <w:rFonts w:hint="eastAsia" w:ascii="宋体" w:hAnsi="宋体" w:eastAsia="宋体" w:cs="宋体"/>
          <w:color w:val="auto"/>
          <w:sz w:val="24"/>
          <w:szCs w:val="24"/>
          <w:highlight w:val="none"/>
          <w:lang w:val="en-US" w:eastAsia="zh-CN"/>
        </w:rPr>
        <w:t xml:space="preserve">总</w:t>
      </w:r>
      <w:r>
        <w:rPr>
          <w:rFonts w:hint="eastAsia" w:ascii="宋体" w:hAnsi="宋体" w:eastAsia="宋体" w:cs="宋体"/>
          <w:color w:val="auto"/>
          <w:sz w:val="24"/>
          <w:szCs w:val="24"/>
          <w:highlight w:val="none"/>
        </w:rPr>
        <w:t xml:space="preserve">投入资金</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全部为市级财政补助资金。</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（二）资金分配。</w:t>
      </w:r>
      <w:r/>
    </w:p>
    <w:tbl>
      <w:tblPr>
        <w:tblStyle w:val="760"/>
        <w:tblW w:w="932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2098"/>
        <w:gridCol w:w="4819"/>
      </w:tblGrid>
      <w:tr>
        <w:trPr/>
        <w:tc>
          <w:tcPr>
            <w:tcW w:w="2405"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实施内容</w:t>
            </w:r>
            <w:r/>
          </w:p>
        </w:tc>
        <w:tc>
          <w:tcPr>
            <w:tcW w:w="209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市级财政补助资金（万元）</w:t>
            </w:r>
            <w:r/>
          </w:p>
        </w:tc>
        <w:tc>
          <w:tcPr>
            <w:tcW w:w="4819"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c>
          <w:tcPr>
            <w:tcW w:w="2405"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2026年南京市栖霞区农药包装废弃物与废旧地膜回收处理</w:t>
            </w:r>
            <w:r/>
          </w:p>
        </w:tc>
        <w:tc>
          <w:tcPr>
            <w:tcW w:w="2098" w:type="dxa"/>
            <w:vAlign w:val="center"/>
            <w:textDirection w:val="lrTb"/>
            <w:noWrap w:val="false"/>
          </w:tcPr>
          <w:p>
            <w:pPr>
              <w:jc w:val="center"/>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90</w:t>
            </w:r>
            <w:r/>
          </w:p>
        </w:tc>
        <w:tc>
          <w:tcPr>
            <w:tcW w:w="4819" w:type="dxa"/>
            <w:vAlign w:val="center"/>
            <w:textDirection w:val="lrTb"/>
            <w:noWrap w:val="false"/>
          </w:tcPr>
          <w:p>
            <w:pPr>
              <w:jc w:val="left"/>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要用于农药包装废弃物有偿回收、回收点建设及相关设施设备租赁费、回收点管理费、农药包装废弃物回收归集费（含集中回收打包、运输费等）、农药包装废弃物无害化处置费、废旧地膜处置费、培训与宣传费等。</w:t>
            </w:r>
            <w:r/>
          </w:p>
        </w:tc>
      </w:tr>
    </w:tbl>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实施主体确立及资金操作方法。项目回收组织主体按政府购买服务的相关程序确立，确定回收组织主体后，及时签订合同，由回收组织主体统一支付相关费用等；我区将委托第三方中介机构对项目实施全程跟踪核查审计</w:t>
      </w:r>
      <w:r>
        <w:rPr>
          <w:rFonts w:hint="eastAsia" w:ascii="宋体" w:hAnsi="宋体" w:eastAsia="宋体" w:cs="宋体"/>
          <w:color w:val="auto"/>
          <w:sz w:val="24"/>
          <w:szCs w:val="24"/>
          <w:highlight w:val="none"/>
        </w:rPr>
        <w:t xml:space="preserve">，根据审计和验收结果拨付项目资金，所有结余资金收回财政。</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五、实施进度</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本项目实施期限自</w:t>
      </w:r>
      <w:r>
        <w:rPr>
          <w:rFonts w:hint="eastAsia" w:ascii="宋体" w:hAnsi="宋体" w:eastAsia="宋体" w:cs="宋体"/>
          <w:color w:val="auto"/>
          <w:sz w:val="24"/>
          <w:szCs w:val="24"/>
          <w:highlight w:val="none"/>
          <w:lang w:val="en-US" w:eastAsia="zh-CN"/>
        </w:rPr>
        <w:t xml:space="preserve">合同签订之日</w:t>
      </w:r>
      <w:r>
        <w:rPr>
          <w:rFonts w:hint="eastAsia" w:ascii="宋体" w:hAnsi="宋体" w:eastAsia="宋体" w:cs="宋体"/>
          <w:color w:val="auto"/>
          <w:sz w:val="24"/>
          <w:szCs w:val="24"/>
          <w:highlight w:val="none"/>
        </w:rPr>
        <w:t xml:space="preserve">至</w:t>
      </w:r>
      <w:r>
        <w:rPr>
          <w:rFonts w:hint="eastAsia" w:ascii="宋体" w:hAnsi="宋体" w:eastAsia="宋体" w:cs="宋体"/>
          <w:color w:val="auto"/>
          <w:sz w:val="24"/>
          <w:szCs w:val="24"/>
          <w:highlight w:val="none"/>
          <w:lang w:val="en-US" w:eastAsia="zh-CN"/>
        </w:rPr>
        <w:t xml:space="preserve">2026年</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月，实施进度安排如下： </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2025年</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月：制定项目方案报局办公会</w:t>
      </w:r>
      <w:r>
        <w:rPr>
          <w:rFonts w:hint="eastAsia" w:ascii="宋体" w:hAnsi="宋体" w:eastAsia="宋体" w:cs="宋体"/>
          <w:color w:val="auto"/>
          <w:sz w:val="24"/>
          <w:szCs w:val="24"/>
          <w:highlight w:val="none"/>
          <w:lang w:eastAsia="zh-CN"/>
        </w:rPr>
        <w:t xml:space="preserve">通过后，</w:t>
      </w:r>
      <w:r>
        <w:rPr>
          <w:rFonts w:hint="eastAsia" w:ascii="宋体" w:hAnsi="宋体" w:eastAsia="宋体" w:cs="宋体"/>
          <w:color w:val="auto"/>
          <w:sz w:val="24"/>
          <w:szCs w:val="24"/>
          <w:highlight w:val="none"/>
        </w:rPr>
        <w:t xml:space="preserve">开展“202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年南京市栖霞区农药包装废弃物与废旧地膜回收处</w:t>
      </w:r>
      <w:r>
        <w:rPr>
          <w:rFonts w:hint="eastAsia" w:ascii="宋体" w:hAnsi="宋体" w:eastAsia="宋体" w:cs="宋体"/>
          <w:color w:val="auto"/>
          <w:sz w:val="24"/>
          <w:szCs w:val="24"/>
          <w:highlight w:val="none"/>
          <w:lang w:val="en-US" w:eastAsia="zh-CN"/>
        </w:rPr>
        <w:t xml:space="preserve">理</w:t>
      </w:r>
      <w:r>
        <w:rPr>
          <w:rFonts w:hint="eastAsia" w:ascii="宋体" w:hAnsi="宋体" w:eastAsia="宋体" w:cs="宋体"/>
          <w:color w:val="auto"/>
          <w:sz w:val="24"/>
          <w:szCs w:val="24"/>
          <w:highlight w:val="none"/>
        </w:rPr>
        <w:t xml:space="preserve">”公开招标。</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月：开展“202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年南京市栖霞区农药包装废弃物与废旧地膜回收</w:t>
      </w:r>
      <w:r>
        <w:rPr>
          <w:rFonts w:hint="eastAsia" w:ascii="宋体" w:hAnsi="宋体" w:eastAsia="宋体" w:cs="宋体"/>
          <w:color w:val="auto"/>
          <w:sz w:val="24"/>
          <w:szCs w:val="24"/>
          <w:highlight w:val="none"/>
          <w:lang w:val="en-US" w:eastAsia="zh-CN"/>
        </w:rPr>
        <w:t xml:space="preserve">处理</w:t>
      </w:r>
      <w:r>
        <w:rPr>
          <w:rFonts w:hint="eastAsia" w:ascii="宋体" w:hAnsi="宋体" w:eastAsia="宋体" w:cs="宋体"/>
          <w:color w:val="auto"/>
          <w:sz w:val="24"/>
          <w:szCs w:val="24"/>
          <w:highlight w:val="none"/>
        </w:rPr>
        <w:t xml:space="preserve">”工作；开展地膜残留原位监测和新型地膜实验；开展全项目跟踪审计，阶段支付资金；开展培训；开展审计、验收，整理项目档案，完成工作总结。 </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六、项目实施成效</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1、涉农乡镇农药包装废弃物回收全覆盖，无害化处理率100%。</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2、废旧农膜回收率大于等于 90%。</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七、支付条款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合同签订后甲方预支付项目</w:t>
      </w:r>
      <w:r>
        <w:rPr>
          <w:rFonts w:hint="eastAsia" w:ascii="宋体" w:hAnsi="宋体" w:eastAsia="宋体" w:cs="宋体"/>
          <w:color w:val="auto"/>
          <w:sz w:val="24"/>
          <w:szCs w:val="24"/>
          <w:highlight w:val="none"/>
          <w:lang w:eastAsia="zh-CN"/>
        </w:rPr>
        <w:t xml:space="preserve">中标价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rPr>
        <w:t xml:space="preserve">30%至乙方，</w:t>
      </w: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 xml:space="preserve">每季度末可以提交结算材料分批结算，结算材料包含结算申请、跟踪审计阶段报告、回收和处置台账、发票。剩余款项项目结束、验收后支付。收到结算材料后30个工作日支付。</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754"/>
        <w:rPr>
          <w:color w:val="auto"/>
          <w:highlight w:val="none"/>
        </w:rPr>
      </w:pPr>
      <w:r>
        <w:rPr>
          <w:color w:val="auto"/>
          <w:highlight w:val="none"/>
        </w:rPr>
      </w:r>
      <w:r/>
    </w:p>
    <w:p>
      <w:pPr>
        <w:pStyle w:val="738"/>
        <w:rPr>
          <w:rFonts w:ascii="宋体" w:hAnsi="宋体" w:eastAsia="宋体" w:cs="宋体"/>
          <w:color w:val="auto"/>
          <w:highlight w:val="none"/>
        </w:rPr>
      </w:pPr>
      <w:r>
        <w:rPr>
          <w:rFonts w:ascii="宋体" w:hAnsi="宋体" w:eastAsia="宋体" w:cs="宋体"/>
          <w:color w:val="auto"/>
          <w:highlight w:val="none"/>
        </w:rPr>
      </w:r>
      <w:r/>
    </w:p>
    <w:p>
      <w:pPr>
        <w:numPr>
          <w:ilvl w:val="0"/>
          <w:numId w:val="7"/>
        </w:numPr>
        <w:jc w:val="center"/>
        <w:rPr>
          <w:rFonts w:ascii="宋体" w:hAnsi="宋体" w:eastAsia="宋体" w:cs="宋体"/>
          <w:b/>
          <w:color w:val="auto"/>
          <w:sz w:val="40"/>
          <w:szCs w:val="40"/>
          <w:highlight w:val="none"/>
        </w:rPr>
      </w:pPr>
      <w:r/>
      <w:bookmarkStart w:id="8" w:name="page19"/>
      <w:r/>
      <w:bookmarkEnd w:id="8"/>
      <w:r>
        <w:rPr>
          <w:rFonts w:hint="eastAsia" w:ascii="宋体" w:hAnsi="宋体" w:eastAsia="宋体" w:cs="宋体"/>
          <w:b/>
          <w:color w:val="auto"/>
          <w:sz w:val="40"/>
          <w:szCs w:val="40"/>
          <w:highlight w:val="none"/>
        </w:rPr>
        <w:t xml:space="preserve">合同主要条款及格式</w:t>
      </w:r>
      <w:r/>
    </w:p>
    <w:p>
      <w:pPr>
        <w:jc w:val="center"/>
        <w:spacing w:line="0" w:lineRule="atLeast"/>
        <w:rPr>
          <w:rFonts w:ascii="宋体" w:hAnsi="宋体" w:eastAsia="宋体" w:cs="宋体"/>
          <w:color w:val="auto"/>
          <w:sz w:val="52"/>
          <w:szCs w:val="52"/>
          <w:highlight w:val="none"/>
        </w:rPr>
      </w:pPr>
      <w:r>
        <w:rPr>
          <w:rFonts w:ascii="宋体" w:hAnsi="宋体" w:eastAsia="宋体" w:cs="宋体"/>
          <w:color w:val="auto"/>
          <w:sz w:val="52"/>
          <w:szCs w:val="52"/>
          <w:highlight w:val="none"/>
        </w:rPr>
      </w:r>
      <w:r/>
    </w:p>
    <w:p>
      <w:pPr>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pStyle w:val="738"/>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0" w:lineRule="atLeast"/>
        <w:rPr>
          <w:rFonts w:ascii="宋体" w:hAnsi="宋体" w:eastAsia="宋体" w:cs="宋体"/>
          <w:color w:val="auto"/>
          <w:sz w:val="52"/>
          <w:highlight w:val="none"/>
        </w:rPr>
      </w:pPr>
      <w:r>
        <w:rPr>
          <w:rFonts w:hint="eastAsia" w:ascii="宋体" w:hAnsi="宋体" w:eastAsia="宋体" w:cs="宋体"/>
          <w:color w:val="auto"/>
          <w:sz w:val="52"/>
          <w:szCs w:val="52"/>
          <w:highlight w:val="none"/>
        </w:rPr>
        <w:t xml:space="preserve">南京市政府采购项目合同</w:t>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ind w:firstLine="1807"/>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ind w:firstLine="1803"/>
        <w:spacing w:line="360" w:lineRule="auto"/>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项目名称：</w:t>
      </w:r>
      <w:r/>
    </w:p>
    <w:p>
      <w:pPr>
        <w:ind w:firstLine="1803"/>
        <w:spacing w:line="360" w:lineRule="auto"/>
        <w:rPr>
          <w:rFonts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使用</w:t>
      </w:r>
      <w:r>
        <w:rPr>
          <w:rFonts w:hint="eastAsia" w:ascii="宋体" w:hAnsi="宋体" w:eastAsia="宋体" w:cs="宋体"/>
          <w:color w:val="auto"/>
          <w:sz w:val="36"/>
          <w:szCs w:val="36"/>
          <w:highlight w:val="none"/>
        </w:rPr>
        <w:t xml:space="preserve">单位：</w:t>
      </w:r>
      <w:r/>
    </w:p>
    <w:p>
      <w:pPr>
        <w:ind w:firstLine="1803"/>
        <w:spacing w:line="360" w:lineRule="auto"/>
        <w:rPr>
          <w:rFonts w:ascii="宋体" w:hAnsi="宋体" w:eastAsia="宋体" w:cs="宋体"/>
          <w:color w:val="auto"/>
          <w:sz w:val="36"/>
          <w:szCs w:val="36"/>
          <w:highlight w:val="none"/>
        </w:rPr>
      </w:pPr>
      <w:r>
        <w:rPr>
          <w:rFonts w:hint="eastAsia" w:ascii="宋体" w:hAnsi="宋体" w:eastAsia="宋体" w:cs="宋体"/>
          <w:color w:val="auto"/>
          <w:sz w:val="36"/>
          <w:szCs w:val="36"/>
          <w:highlight w:val="none"/>
          <w:lang w:val="en-US" w:eastAsia="zh-CN"/>
        </w:rPr>
        <w:t xml:space="preserve">服务</w:t>
      </w:r>
      <w:r>
        <w:rPr>
          <w:rFonts w:hint="eastAsia" w:ascii="宋体" w:hAnsi="宋体" w:eastAsia="宋体" w:cs="宋体"/>
          <w:color w:val="auto"/>
          <w:sz w:val="36"/>
          <w:szCs w:val="36"/>
          <w:highlight w:val="none"/>
        </w:rPr>
        <w:t xml:space="preserve">单位：</w:t>
      </w:r>
      <w:r/>
    </w:p>
    <w:p>
      <w:pPr>
        <w:ind w:firstLine="1803"/>
        <w:spacing w:line="360" w:lineRule="auto"/>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签订日期：</w:t>
      </w:r>
      <w:r/>
    </w:p>
    <w:p>
      <w:pPr>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spacing w:after="120"/>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rPr>
          <w:rFonts w:ascii="宋体" w:hAnsi="宋体" w:eastAsia="宋体" w:cs="宋体"/>
          <w:color w:val="auto"/>
          <w:sz w:val="36"/>
          <w:szCs w:val="36"/>
          <w:highlight w:val="none"/>
        </w:rPr>
      </w:pPr>
      <w:r>
        <w:rPr>
          <w:rFonts w:ascii="宋体" w:hAnsi="宋体" w:eastAsia="宋体" w:cs="宋体"/>
          <w:color w:val="auto"/>
          <w:sz w:val="36"/>
          <w:szCs w:val="36"/>
          <w:highlight w:val="none"/>
        </w:rPr>
      </w:r>
      <w:r/>
    </w:p>
    <w:p>
      <w:pPr>
        <w:jc w:val="cente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南京市工商行政管理局</w:t>
      </w:r>
      <w:r/>
    </w:p>
    <w:p>
      <w:pPr>
        <w:ind w:firstLine="6804"/>
        <w:spacing w:after="120"/>
        <w:rPr>
          <w:rFonts w:ascii="宋体" w:hAnsi="宋体" w:eastAsia="宋体" w:cs="宋体"/>
          <w:color w:val="auto"/>
          <w:sz w:val="24"/>
          <w:highlight w:val="none"/>
        </w:rPr>
      </w:pPr>
      <w:r>
        <w:rPr>
          <w:rFonts w:hint="eastAsia" w:ascii="宋体" w:hAnsi="宋体" w:eastAsia="宋体" w:cs="宋体"/>
          <w:color w:val="auto"/>
          <w:sz w:val="36"/>
          <w:szCs w:val="36"/>
          <w:highlight w:val="none"/>
        </w:rPr>
        <w:t xml:space="preserve">监制</w:t>
      </w:r>
      <w:r/>
    </w:p>
    <w:p>
      <w:pPr>
        <w:jc w:val="cente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南京市财政局</w:t>
      </w:r>
      <w:r/>
    </w:p>
    <w:p>
      <w:pPr>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p>
      <w:pPr>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p>
      <w:pPr>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p>
      <w:pPr>
        <w:ind w:firstLine="480"/>
        <w:spacing w:line="360" w:lineRule="auto"/>
        <w:tabs>
          <w:tab w:val="left" w:pos="5388" w:leader="none"/>
        </w:tabs>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tabs>
          <w:tab w:val="left" w:pos="5388"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政府采购计划号：</w:t>
      </w:r>
      <w:r>
        <w:rPr>
          <w:rFonts w:hint="eastAsia" w:ascii="宋体" w:hAnsi="宋体" w:eastAsia="宋体" w:cs="宋体"/>
          <w:color w:val="auto"/>
          <w:sz w:val="24"/>
          <w:highlight w:val="none"/>
          <w:lang w:val="zh-CN"/>
        </w:rPr>
      </w:r>
      <w:r/>
    </w:p>
    <w:tbl>
      <w:tblPr>
        <w:tblStyle w:val="73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w:t>
            </w:r>
            <w:r>
              <w:rPr>
                <w:rFonts w:hint="eastAsia" w:ascii="宋体" w:hAnsi="宋体" w:eastAsia="宋体" w:cs="宋体"/>
                <w:color w:val="auto"/>
                <w:sz w:val="24"/>
                <w:szCs w:val="24"/>
                <w:highlight w:val="none"/>
                <w:lang w:val="zh-CN"/>
              </w:rPr>
              <w:t xml:space="preserve">：（以下称乙方）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住所地</w:t>
            </w:r>
            <w:r/>
          </w:p>
        </w:tc>
      </w:tr>
    </w:tbl>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    根据《中华人民共和国政府采购法》、《中华人民共和国民法典》等法律法规的规定，甲、乙双方根据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2026年南京市栖霞区农药包装废弃物与废旧地膜回收处理</w:t>
      </w:r>
      <w:r>
        <w:rPr>
          <w:rFonts w:hint="eastAsia" w:ascii="宋体" w:hAnsi="宋体" w:eastAsia="宋体" w:cs="宋体"/>
          <w:color w:val="auto"/>
          <w:sz w:val="24"/>
          <w:szCs w:val="24"/>
          <w:highlight w:val="none"/>
          <w:lang w:val="zh-CN"/>
        </w:rPr>
        <w:t xml:space="preserve">招标结果和招标文件的要求，并经双方协调一致，订立本采购合同。</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一、合同文件组成及解释顺序:</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lang w:val="zh-CN"/>
        </w:rPr>
        <w:t xml:space="preserve">文件及其补充文件、响应文件、双方来函。合同文件组成的所有内容是构成合同不可分割的部分，与合同具有同等法律效力。除上述合同顺序外，合同文件之间有矛盾的，以较后时间制定的为准。</w:t>
      </w:r>
      <w:r/>
    </w:p>
    <w:p>
      <w:pPr>
        <w:ind w:firstLine="420"/>
        <w:jc w:val="left"/>
        <w:spacing w:line="24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二、服务范围</w:t>
      </w:r>
      <w:r>
        <w:rPr>
          <w:b/>
          <w:bCs/>
        </w:rPr>
      </w:r>
      <w:r/>
    </w:p>
    <w:p>
      <w:pPr>
        <w:ind w:firstLine="440"/>
        <w:spacing w:line="24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该项目涉及栖霞区八卦洲街道、龙潭街道（含西岗街道）。</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.基层回收点建立。八卦洲街道与龙潭街道（含西岗街道）各建一个基层回收点。</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.农药包装废弃物与废旧地膜有偿收购。按照瓶、袋、支包装规格的不同，作价回收栖霞区范围内农药包装废弃物。</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.农药包装废弃物与废旧地膜无害化处置。按相关程序委托生态环境部门认可具有资质的废弃物处置单位对收集打包的废弃物进行无害化处置，做好处置台账记录。</w:t>
      </w:r>
      <w:r/>
    </w:p>
    <w:p>
      <w:pPr>
        <w:ind w:firstLine="44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.农药包装废弃物与废旧地膜回收处置工作宣传培训。开展形式多样的农药包装废弃物回收宣传与培训工作，加强专业合作社、家庭农场和种植户对农药包装废弃物分类回收的意识。</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 开展一次培训（培训人数不低于30 人次）。</w:t>
      </w:r>
      <w:r/>
    </w:p>
    <w:p>
      <w:pPr>
        <w:ind w:firstLine="420"/>
        <w:jc w:val="left"/>
        <w:spacing w:line="360" w:lineRule="auto"/>
        <w:widowControl/>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7、包含往年未处置的废旧地膜回收。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三、合同期限 </w:t>
      </w:r>
      <w:r>
        <w:rPr>
          <w:rFonts w:hint="eastAsia" w:ascii="宋体" w:hAnsi="宋体" w:eastAsia="宋体" w:cs="宋体"/>
          <w:color w:val="auto"/>
          <w:sz w:val="24"/>
          <w:szCs w:val="24"/>
          <w:highlight w:val="none"/>
        </w:rPr>
        <w:t xml:space="preserve">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自合同签订之日起至2</w:t>
      </w:r>
      <w:r>
        <w:rPr>
          <w:rFonts w:hint="eastAsia" w:ascii="宋体" w:hAnsi="宋体" w:eastAsia="宋体" w:cs="宋体"/>
          <w:color w:val="auto"/>
          <w:sz w:val="24"/>
          <w:szCs w:val="24"/>
          <w:highlight w:val="none"/>
          <w:lang w:val="en-US" w:eastAsia="zh-CN"/>
        </w:rPr>
        <w:t xml:space="preserve">026</w:t>
      </w:r>
      <w:r>
        <w:rPr>
          <w:rFonts w:hint="eastAsia" w:ascii="宋体" w:hAnsi="宋体" w:eastAsia="宋体" w:cs="宋体"/>
          <w:color w:val="auto"/>
          <w:sz w:val="24"/>
          <w:szCs w:val="24"/>
          <w:highlight w:val="none"/>
        </w:rPr>
        <w:t xml:space="preserve">年1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月。</w:t>
      </w:r>
      <w:r/>
    </w:p>
    <w:p>
      <w:pPr>
        <w:ind w:firstLine="42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四、合同价格</w:t>
      </w:r>
      <w:r>
        <w:rPr>
          <w:b/>
          <w:bCs/>
        </w:rPr>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本合同项下服务总价款为人民币</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），分项价款在“分项报价表”中有明确规定。</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费及单价必须包含完成甲方要求的一切可能的费用（包含回收点建设费、劳务费、回收费、处理费、材料费、人工费、税费等），无论本文件是否以文字形式规定，乙方应具备足够的专业知识和能力判定本项目所需的一切材料、服务，考虑各种未预见费用，不得在服务期间提出任何增加费用的要求，更不得减少服务项目，不得降低服务质量。</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2、中标总价</w:t>
      </w:r>
      <w:r>
        <w:rPr>
          <w:rFonts w:hint="eastAsia" w:ascii="宋体" w:hAnsi="宋体" w:eastAsia="宋体" w:cs="宋体"/>
          <w:color w:val="auto"/>
          <w:sz w:val="24"/>
          <w:szCs w:val="24"/>
          <w:highlight w:val="none"/>
        </w:rPr>
        <w:t xml:space="preserve">为项目总价限价，</w:t>
      </w:r>
      <w:r>
        <w:rPr>
          <w:rFonts w:hint="eastAsia" w:ascii="宋体" w:hAnsi="宋体" w:eastAsia="宋体" w:cs="宋体"/>
          <w:color w:val="auto"/>
          <w:sz w:val="24"/>
          <w:szCs w:val="24"/>
          <w:highlight w:val="none"/>
        </w:rPr>
        <w:t xml:space="preserve">其中废旧地膜回收费用不超过</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rPr>
        <w:t xml:space="preserve">，超出部分用下一年度项目资金进行结算。</w:t>
      </w:r>
      <w:r/>
    </w:p>
    <w:p>
      <w:pPr>
        <w:ind w:firstLine="42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五、甲、乙双方的责任与义务</w:t>
      </w:r>
      <w:r>
        <w:rPr>
          <w:b/>
          <w:bCs/>
        </w:rPr>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(一）甲方责任与义务</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1.负责农药包装废弃物与废旧地膜回收处置过程中的指导和协调工作。</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2.派员核查乙方与处置单位交接回收农药包装废弃物(含废旧地膜)的数量，组织相关单位开展日常督查。</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3.组织相关单位对乙方实施情况进行考核。</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4.按合同约定支付合同价款。</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5.甲方全流程有跟踪审计。  </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(二）乙方责任与义务</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1.严格遵守国家有关法津、法规，自觉接受甲方和当地街道办事处监督，确保合同规定的回收数量，清除片区内田间、水渠、池塘、村庄等场所的农药包装废弃物，展现回收成效。</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是农药包装废弃物(含废旧地膜)回收归集及废旧地膜处置工作责任主体，具体负责实施本片区内农药包装废弃物(含废旧地膜)回收归集及废旧地膜处置工作，不得自行处置农药包装废弃物，应当委托具备法定资质的专业处置单位参照危险废物处置的相关技术标准进行无害化集中处置。</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3.乙方应在区域范围内根据农药施用情况建立2个回收点，回收点选址要方便回收并挂牌告示，回收点对回收的农药包装废弃物〈含废旧地膜）进行初步分类，并填写回收点回收台账。</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应具备可以运输农药包装废弃物(含废旧地膜）的合格货车，须配备农药包装废弃物回收处置和废旧地膜处置相应设施设备(包括监控、通风等系统)和配套工具（包括封口机、铲车等)。具有在附近、远离居民区、交通方便、便于归集、暂存安全的农药包装废弃物和废旧地膜仓库，安全防护措施健全;具有专兼职从事农药包装废弃物（含废旧地膜)回收归集的服务人员。</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乙方应定期或不定期到回收点收集农药包装废弃物（含废旧地膜)。对收到的农药包装废弃物（含废旧地膜）要当场进行分类称重核算，填写回收点交付单，并经交接双方核实、签字，交付单一式二份，双方各执归一份。</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农药包装废弃物处置应当委托具备法定资质的专业处置单位参照危险废物处置的相关技术标准进行无害化集中处置,并由处置单位到专存仓库专业运输;废旧地膜应委托有资质单位开展无害化处置。同时，乙方应取得并保存处置单位的过磅单、七联单（或三联单）和正式发票。</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7.乙方须制定日常田间巡查工作计划方案，组建巡查队伍。</w:t>
      </w:r>
      <w:r/>
    </w:p>
    <w:p>
      <w:pPr>
        <w:ind w:firstLine="42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六、合同支付</w:t>
      </w:r>
      <w:r>
        <w:rPr>
          <w:b/>
          <w:bCs/>
        </w:rPr>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合同签订后甲方预支付项目</w:t>
      </w:r>
      <w:r>
        <w:rPr>
          <w:rFonts w:hint="eastAsia" w:ascii="宋体" w:hAnsi="宋体" w:eastAsia="宋体" w:cs="宋体"/>
          <w:color w:val="auto"/>
          <w:sz w:val="24"/>
          <w:szCs w:val="24"/>
          <w:highlight w:val="none"/>
          <w:lang w:val="en-US" w:eastAsia="zh-CN"/>
        </w:rPr>
        <w:t xml:space="preserve">中标价</w:t>
      </w:r>
      <w:r>
        <w:rPr>
          <w:rFonts w:hint="eastAsia" w:ascii="宋体" w:hAnsi="宋体" w:eastAsia="宋体" w:cs="宋体"/>
          <w:color w:val="auto"/>
          <w:sz w:val="24"/>
          <w:szCs w:val="24"/>
          <w:highlight w:val="none"/>
        </w:rPr>
        <w:t xml:space="preserve">的30%至乙方，</w:t>
      </w:r>
      <w:r>
        <w:rPr>
          <w:rFonts w:hint="eastAsia" w:ascii="宋体" w:hAnsi="宋体" w:eastAsia="宋体" w:cs="宋体"/>
          <w:color w:val="auto"/>
          <w:sz w:val="24"/>
          <w:szCs w:val="24"/>
          <w:highlight w:val="none"/>
        </w:rPr>
        <w:t xml:space="preserve">2026年1月-11月</w:t>
      </w:r>
      <w:r>
        <w:rPr>
          <w:rFonts w:hint="eastAsia" w:ascii="宋体" w:hAnsi="宋体" w:eastAsia="宋体" w:cs="宋体"/>
          <w:color w:val="auto"/>
          <w:sz w:val="24"/>
          <w:szCs w:val="24"/>
          <w:highlight w:val="none"/>
        </w:rPr>
        <w:t xml:space="preserve">每季度末可以提交结算材料分批结算，结算材料包含结算申请、跟踪审计阶段报告、回收和处置台账、发票。剩余款项项目结束、验收后支付。收到结算材料后30个工作日支付。</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回收期内完成绩效才能全额结算资金。</w:t>
      </w:r>
      <w:r/>
    </w:p>
    <w:p>
      <w:pPr>
        <w:ind w:firstLine="42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七、乙方服务质量要求</w:t>
      </w:r>
      <w:r>
        <w:rPr>
          <w:b/>
          <w:bCs/>
        </w:rPr>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1.建立农药包装废弃物和废旧地膜回收与处置各类管理制度。</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2．回收的农药包装废弃物要按农药袋、塑料农药瓶、玻璃农药瓶等分类归集，不得掺杂，不得夹杂放射性、电子类及爆炸性物质;废旧地膜需分类捆扎。</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3．台帐、交付单、交接单必须真实规范。</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4．田间不得存在明显的农药包装废弃物和废旧地膜遗弃现象。运输过程必须确保不得散落。</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5．回收转运中心仓储必须做好防水、防漏等安全工作，回收物堆放有序。</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6.及时汇报进度。应加强与所在街道的联系，听从街道指导，按时向街道和甲方上报回收处置进度。</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7.乙方须接受甲方的考核验收，按考核办法执行，否则甲方可单方拒付回收归集及处置费用。</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8.乙方在履约前即合同签订后30天内在街道区域设立回收点，并报甲方审核同意，否则甲方单方终止合同履约。</w:t>
      </w:r>
      <w:r/>
    </w:p>
    <w:p>
      <w:pPr>
        <w:ind w:firstLine="42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八、 合同的转让</w:t>
      </w:r>
      <w:r>
        <w:rPr>
          <w:b/>
          <w:bCs/>
        </w:rPr>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乙方不得擅自部分或全部转让其应履行的合同义务。</w:t>
      </w:r>
      <w:r/>
    </w:p>
    <w:p>
      <w:pPr>
        <w:ind w:firstLine="420"/>
        <w:jc w:val="left"/>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九、违约责任</w:t>
      </w:r>
      <w:r>
        <w:rPr>
          <w:b/>
          <w:bCs/>
        </w:rPr>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1、甲方无故逾期验收和办理款项支付手续的，甲方应按逾期付款总额每日万分之五向乙方支付违约金。</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2、乙方未能如期提供服务的，自逾期之日起十日内，每日向甲方支付合同款项的万分之五作为违约金。乙方超过约定日期</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lang w:val="zh-CN"/>
        </w:rPr>
        <w:t xml:space="preserve">个工作日仍不能提供服务的，甲方有权每天处以合同款项千分之六的罚款，且甲方可解除本合同。</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 xml:space="preserve">十、争议的解决</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因履行本合同引起的或与本合同有关的争议，甲、乙双方应首先通过友好协商解决，如果协商不能解决争议，则采取以下第（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zh-CN"/>
        </w:rPr>
        <w:t xml:space="preserve">）种方式解决争议：</w:t>
      </w:r>
      <w:r/>
    </w:p>
    <w:p>
      <w:pPr>
        <w:ind w:firstLine="56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（1）向甲方所在地有管辖权的人民法院提起诉讼；</w:t>
      </w:r>
      <w:r/>
    </w:p>
    <w:p>
      <w:pPr>
        <w:ind w:firstLine="56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（2）向南京仲裁委员会按其仲裁规则申请仲裁。</w:t>
      </w:r>
      <w:r/>
    </w:p>
    <w:p>
      <w:pPr>
        <w:ind w:firstLine="56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如没有约定，默认采取第2种方式解决争议。</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3、在仲裁期间，本合同应继续履行。</w:t>
      </w:r>
      <w:r/>
    </w:p>
    <w:p>
      <w:pPr>
        <w:ind w:firstLine="420"/>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十一、 诚实信用 </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乙方应诚实信用，严格按照竞争性招标文件要求和乙方承诺履行合同，不向甲方进行商业贿赂或者提供不正当利益。</w:t>
      </w:r>
      <w:r/>
    </w:p>
    <w:p>
      <w:pPr>
        <w:ind w:firstLine="420"/>
        <w:jc w:val="left"/>
        <w:spacing w:line="360" w:lineRule="auto"/>
        <w:widowControl/>
      </w:pPr>
      <w:r>
        <w:rPr>
          <w:rFonts w:hint="eastAsia" w:ascii="宋体" w:hAnsi="宋体" w:eastAsia="宋体" w:cs="宋体"/>
          <w:b/>
          <w:bCs/>
          <w:color w:val="auto"/>
          <w:sz w:val="24"/>
          <w:szCs w:val="24"/>
          <w:highlight w:val="none"/>
          <w:lang w:val="zh-CN"/>
        </w:rPr>
        <w:t xml:space="preserve">十二</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lang w:val="zh-CN"/>
        </w:rPr>
        <w:t xml:space="preserve"> 合同的变更和终止</w:t>
      </w:r>
      <w:r>
        <w:rPr>
          <w:rFonts w:hint="eastAsia" w:ascii="宋体" w:hAnsi="宋体" w:eastAsia="宋体" w:cs="宋体"/>
          <w:b/>
          <w:bCs/>
          <w:color w:val="auto"/>
          <w:sz w:val="24"/>
          <w:szCs w:val="24"/>
          <w:highlight w:val="none"/>
          <w:lang w:val="zh-CN"/>
        </w:rPr>
      </w:r>
      <w:r/>
    </w:p>
    <w:p>
      <w:pPr>
        <w:ind w:firstLine="420"/>
        <w:jc w:val="left"/>
        <w:spacing w:line="360" w:lineRule="auto"/>
        <w:widowControl/>
      </w:pPr>
      <w:r>
        <w:rPr>
          <w:rFonts w:hint="eastAsia" w:ascii="宋体" w:hAnsi="宋体" w:eastAsia="宋体" w:cs="宋体"/>
          <w:color w:val="auto"/>
          <w:sz w:val="24"/>
          <w:szCs w:val="24"/>
          <w:highlight w:val="none"/>
        </w:rPr>
        <w:t xml:space="preserve">1．除《政府采购法》第50条第二款规定的情形外，本合同一经签订，甲乙双方不得擅自变更、中止或终止合同。</w:t>
      </w:r>
      <w:r>
        <w:rPr>
          <w:rFonts w:hint="eastAsia" w:ascii="宋体" w:hAnsi="宋体" w:eastAsia="宋体" w:cs="宋体"/>
          <w:color w:val="auto"/>
          <w:sz w:val="24"/>
          <w:szCs w:val="24"/>
          <w:highlight w:val="none"/>
        </w:rPr>
      </w:r>
      <w:r/>
    </w:p>
    <w:p>
      <w:pPr>
        <w:ind w:firstLine="420"/>
        <w:jc w:val="left"/>
        <w:spacing w:line="360" w:lineRule="auto"/>
        <w:widowControl/>
        <w:rPr>
          <w:rFonts w:hint="eastAsia" w:ascii="宋体" w:hAnsi="宋体" w:eastAsia="宋体" w:cs="宋体"/>
          <w:b/>
          <w:bCs/>
          <w:color w:val="auto"/>
          <w:highlight w:val="none"/>
        </w:rPr>
      </w:pPr>
      <w:r>
        <w:rPr>
          <w:rFonts w:hint="eastAsia" w:ascii="宋体" w:hAnsi="宋体" w:eastAsia="宋体" w:cs="宋体"/>
          <w:color w:val="auto"/>
          <w:sz w:val="24"/>
          <w:szCs w:val="24"/>
          <w:highlight w:val="none"/>
        </w:rPr>
        <w:t xml:space="preserve">2．除发</w:t>
      </w:r>
      <w:r>
        <w:rPr>
          <w:rFonts w:hint="eastAsia" w:ascii="宋体" w:hAnsi="宋体" w:eastAsia="宋体" w:cs="宋体"/>
          <w:color w:val="auto"/>
          <w:sz w:val="24"/>
          <w:szCs w:val="24"/>
          <w:highlight w:val="none"/>
        </w:rPr>
        <w:t xml:space="preserve">生法律规定的不能预见、不能避免并不能克服的客观情况外，甲乙双方不得放弃或拒绝履行合同。乙方放弃或拒绝履行合同，保证金不予退还。</w:t>
      </w:r>
      <w:r>
        <w:rPr>
          <w:rFonts w:hint="eastAsia" w:ascii="宋体" w:hAnsi="宋体" w:eastAsia="宋体" w:cs="宋体"/>
          <w:color w:val="auto"/>
          <w:sz w:val="24"/>
          <w:szCs w:val="24"/>
          <w:highlight w:val="none"/>
        </w:rPr>
      </w:r>
      <w:r/>
    </w:p>
    <w:p>
      <w:pPr>
        <w:ind w:firstLine="420"/>
        <w:jc w:val="left"/>
        <w:spacing w:line="360" w:lineRule="auto"/>
        <w:widowControl/>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十</w:t>
      </w:r>
      <w:r>
        <w:rPr>
          <w:rFonts w:hint="eastAsia" w:ascii="宋体" w:hAnsi="宋体" w:eastAsia="宋体" w:cs="宋体"/>
          <w:b/>
          <w:bCs/>
          <w:color w:val="auto"/>
          <w:sz w:val="24"/>
          <w:szCs w:val="24"/>
          <w:highlight w:val="none"/>
          <w:lang w:val="zh-CN"/>
        </w:rPr>
        <w:t xml:space="preserve">三</w:t>
      </w:r>
      <w:r>
        <w:rPr>
          <w:rFonts w:hint="eastAsia" w:ascii="宋体" w:hAnsi="宋体" w:eastAsia="宋体" w:cs="宋体"/>
          <w:b/>
          <w:bCs/>
          <w:color w:val="auto"/>
          <w:sz w:val="24"/>
          <w:szCs w:val="24"/>
          <w:highlight w:val="none"/>
          <w:lang w:val="zh-CN"/>
        </w:rPr>
        <w:t xml:space="preserve">、合同生效及其他</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1、本合同自签订之日起生效。</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2、本合同一式伍份，甲乙双方各执贰份，壹份交采购代理机构存档。</w:t>
      </w:r>
      <w:r/>
    </w:p>
    <w:p>
      <w:pPr>
        <w:ind w:firstLine="42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3、本合同应按照中华人民共和国的现行法律进行解释。</w:t>
      </w:r>
      <w:r/>
    </w:p>
    <w:tbl>
      <w:tblPr>
        <w:tblStyle w:val="732"/>
        <w:tblW w:w="9286" w:type="dxa"/>
        <w:tblInd w:w="-108" w:type="dxa"/>
        <w:tblLayout w:type="fixed"/>
        <w:tblCellMar>
          <w:left w:w="0" w:type="dxa"/>
          <w:top w:w="0" w:type="dxa"/>
          <w:right w:w="0"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乙方（投标人）：（盖章）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代表人</w:t>
            </w:r>
            <w:r>
              <w:rPr>
                <w:rFonts w:hint="eastAsia" w:ascii="宋体" w:hAnsi="宋体" w:eastAsia="宋体" w:cs="宋体"/>
                <w:color w:val="auto"/>
                <w:sz w:val="24"/>
                <w:szCs w:val="24"/>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账号：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账号：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日</w:t>
            </w:r>
            <w:r/>
          </w:p>
        </w:tc>
        <w:tc>
          <w:tcPr>
            <w:tcW w:w="4643" w:type="dxa"/>
            <w:textDirection w:val="lrTb"/>
            <w:noWrap w:val="false"/>
          </w:tcPr>
          <w:p>
            <w:pPr>
              <w:ind w:firstLine="480"/>
              <w:jc w:val="left"/>
              <w:spacing w:line="360" w:lineRule="auto"/>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日</w:t>
            </w:r>
            <w:r/>
          </w:p>
        </w:tc>
      </w:tr>
    </w:tbl>
    <w:p>
      <w:pPr>
        <w:pStyle w:val="75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tabs>
          <w:tab w:val="left" w:pos="5388"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38"/>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pStyle w:val="738"/>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36"/>
          <w:szCs w:val="36"/>
          <w:highlight w:val="none"/>
        </w:rPr>
        <w:t xml:space="preserve">第六章 投标文件及附件格式</w:t>
      </w:r>
      <w:r/>
    </w:p>
    <w:p>
      <w:pPr>
        <w:jc w:val="cente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40"/>
          <w:szCs w:val="40"/>
          <w:highlight w:val="none"/>
        </w:rPr>
      </w:pPr>
      <w:r>
        <w:rPr>
          <w:rFonts w:ascii="宋体" w:hAnsi="宋体" w:eastAsia="宋体" w:cs="宋体"/>
          <w:b/>
          <w:color w:val="auto"/>
          <w:sz w:val="40"/>
          <w:szCs w:val="40"/>
          <w:highlight w:val="none"/>
        </w:rPr>
      </w:r>
      <w:r/>
    </w:p>
    <w:p>
      <w:pPr>
        <w:pStyle w:val="725"/>
        <w:rPr>
          <w:color w:val="auto"/>
          <w:highlight w:val="none"/>
        </w:rPr>
      </w:pPr>
      <w:r>
        <w:rPr>
          <w:color w:val="auto"/>
          <w:highlight w:val="none"/>
        </w:rPr>
      </w:r>
      <w:r/>
    </w:p>
    <w:p>
      <w:pPr>
        <w:jc w:val="center"/>
        <w:rPr>
          <w:rFonts w:ascii="宋体" w:hAnsi="宋体" w:eastAsia="宋体" w:cs="宋体"/>
          <w:b/>
          <w:color w:val="auto"/>
          <w:sz w:val="56"/>
          <w:szCs w:val="56"/>
          <w:highlight w:val="none"/>
        </w:rPr>
      </w:pPr>
      <w:r>
        <w:rPr>
          <w:rFonts w:hint="eastAsia" w:ascii="宋体" w:hAnsi="宋体" w:eastAsia="宋体" w:cs="宋体"/>
          <w:b/>
          <w:color w:val="auto"/>
          <w:sz w:val="56"/>
          <w:szCs w:val="56"/>
          <w:highlight w:val="none"/>
        </w:rPr>
        <w:t xml:space="preserve">投 标 文 件</w:t>
      </w:r>
      <w:r/>
    </w:p>
    <w:p>
      <w:pPr>
        <w:jc w:val="center"/>
        <w:rPr>
          <w:rFonts w:ascii="宋体" w:hAnsi="宋体" w:eastAsia="宋体" w:cs="宋体"/>
          <w:b/>
          <w:color w:val="auto"/>
          <w:sz w:val="43"/>
          <w:szCs w:val="43"/>
          <w:highlight w:val="none"/>
        </w:rPr>
      </w:pPr>
      <w:r>
        <w:rPr>
          <w:rFonts w:ascii="宋体" w:hAnsi="宋体" w:eastAsia="宋体" w:cs="宋体"/>
          <w:b/>
          <w:color w:val="auto"/>
          <w:sz w:val="43"/>
          <w:szCs w:val="43"/>
          <w:highlight w:val="none"/>
        </w:rPr>
      </w:r>
      <w:r/>
    </w:p>
    <w:p>
      <w:pPr>
        <w:rPr>
          <w:rFonts w:ascii="宋体" w:hAnsi="宋体" w:eastAsia="宋体" w:cs="宋体"/>
          <w:b/>
          <w:color w:val="auto"/>
          <w:sz w:val="43"/>
          <w:szCs w:val="43"/>
          <w:highlight w:val="none"/>
        </w:rPr>
      </w:pPr>
      <w:r>
        <w:rPr>
          <w:rFonts w:ascii="宋体" w:hAnsi="宋体" w:eastAsia="宋体" w:cs="宋体"/>
          <w:b/>
          <w:color w:val="auto"/>
          <w:sz w:val="43"/>
          <w:szCs w:val="43"/>
          <w:highlight w:val="none"/>
        </w:rPr>
      </w:r>
      <w:r/>
    </w:p>
    <w:p>
      <w:pPr>
        <w:keepLines/>
        <w:keepNext/>
        <w:spacing w:before="340" w:after="330" w:line="578" w:lineRule="auto"/>
        <w:rPr>
          <w:rFonts w:ascii="宋体" w:hAnsi="宋体" w:eastAsia="宋体" w:cs="宋体"/>
          <w:b/>
          <w:bCs/>
          <w:color w:val="auto"/>
          <w:sz w:val="44"/>
          <w:szCs w:val="44"/>
          <w:highlight w:val="none"/>
        </w:rPr>
        <w:outlineLvl w:val="0"/>
      </w:pPr>
      <w:r>
        <w:rPr>
          <w:rFonts w:ascii="宋体" w:hAnsi="宋体" w:eastAsia="宋体" w:cs="宋体"/>
          <w:b/>
          <w:bCs/>
          <w:color w:val="auto"/>
          <w:sz w:val="44"/>
          <w:szCs w:val="44"/>
          <w:highlight w:val="none"/>
        </w:rPr>
      </w:r>
      <w:r/>
    </w:p>
    <w:p>
      <w:pPr>
        <w:ind w:firstLine="1084"/>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项目编号：</w:t>
      </w:r>
      <w:r/>
    </w:p>
    <w:p>
      <w:pPr>
        <w:ind w:firstLine="1084"/>
        <w:rPr>
          <w:rFonts w:ascii="宋体" w:hAnsi="宋体" w:eastAsia="宋体" w:cs="宋体"/>
          <w:b/>
          <w:bCs/>
          <w:color w:val="auto"/>
          <w:sz w:val="36"/>
          <w:szCs w:val="36"/>
          <w:highlight w:val="none"/>
          <w:u w:val="single"/>
        </w:rPr>
      </w:pPr>
      <w:r>
        <w:rPr>
          <w:rFonts w:hint="eastAsia" w:ascii="宋体" w:hAnsi="宋体" w:eastAsia="宋体" w:cs="宋体"/>
          <w:b/>
          <w:bCs/>
          <w:color w:val="auto"/>
          <w:sz w:val="36"/>
          <w:szCs w:val="36"/>
          <w:highlight w:val="none"/>
        </w:rPr>
        <w:t xml:space="preserve">项目名称：</w:t>
      </w:r>
      <w:r/>
    </w:p>
    <w:p>
      <w:pPr>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rPr>
          <w:rFonts w:ascii="宋体" w:hAnsi="宋体" w:eastAsia="宋体" w:cs="宋体"/>
          <w:b/>
          <w:bCs/>
          <w:color w:val="auto"/>
          <w:sz w:val="36"/>
          <w:szCs w:val="36"/>
          <w:highlight w:val="none"/>
        </w:rPr>
      </w:pPr>
      <w:r>
        <w:rPr>
          <w:rFonts w:ascii="宋体" w:hAnsi="宋体" w:eastAsia="宋体" w:cs="宋体"/>
          <w:b/>
          <w:bCs/>
          <w:color w:val="auto"/>
          <w:sz w:val="36"/>
          <w:szCs w:val="36"/>
          <w:highlight w:val="none"/>
        </w:rPr>
      </w:r>
      <w:r/>
    </w:p>
    <w:p>
      <w:pPr>
        <w:ind w:firstLine="1083"/>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供应商名称：（加盖</w:t>
      </w:r>
      <w:r>
        <w:rPr>
          <w:rFonts w:hint="eastAsia" w:ascii="宋体" w:hAnsi="宋体" w:eastAsia="宋体" w:cs="宋体"/>
          <w:b/>
          <w:bCs/>
          <w:color w:val="auto"/>
          <w:sz w:val="36"/>
          <w:szCs w:val="36"/>
          <w:highlight w:val="none"/>
          <w:lang w:val="en-US" w:eastAsia="zh-CN"/>
        </w:rPr>
        <w:t xml:space="preserve">公</w:t>
      </w:r>
      <w:r>
        <w:rPr>
          <w:rFonts w:hint="eastAsia" w:ascii="宋体" w:hAnsi="宋体" w:eastAsia="宋体" w:cs="宋体"/>
          <w:b/>
          <w:bCs/>
          <w:color w:val="auto"/>
          <w:sz w:val="36"/>
          <w:szCs w:val="36"/>
          <w:highlight w:val="none"/>
        </w:rPr>
        <w:t xml:space="preserve">章）</w:t>
      </w:r>
      <w:r/>
    </w:p>
    <w:p>
      <w:pPr>
        <w:ind w:firstLine="1083"/>
        <w:spacing w:line="360" w:lineRule="auto"/>
        <w:rPr>
          <w:rFonts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日期：</w:t>
      </w:r>
      <w:r/>
    </w:p>
    <w:p>
      <w:pPr>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pStyle w:val="788"/>
        <w:rPr>
          <w:color w:val="auto"/>
          <w:highlight w:val="none"/>
        </w:rPr>
      </w:pPr>
      <w:r>
        <w:rPr>
          <w:color w:val="auto"/>
          <w:highlight w:val="none"/>
        </w:rPr>
      </w:r>
      <w:r/>
    </w:p>
    <w:p>
      <w:pPr>
        <w:pStyle w:val="788"/>
        <w:rPr>
          <w:color w:val="auto"/>
          <w:highlight w:val="none"/>
        </w:rPr>
      </w:pPr>
      <w:r>
        <w:rPr>
          <w:color w:val="auto"/>
          <w:highlight w:val="none"/>
        </w:rPr>
      </w:r>
      <w:r/>
    </w:p>
    <w:p>
      <w:pPr>
        <w:rPr>
          <w:rFonts w:ascii="宋体" w:hAnsi="宋体" w:eastAsia="宋体" w:cs="宋体"/>
          <w:b/>
          <w:bCs/>
          <w:color w:val="auto"/>
          <w:sz w:val="31"/>
          <w:szCs w:val="31"/>
          <w:highlight w:val="none"/>
        </w:rPr>
      </w:pPr>
      <w:r>
        <w:rPr>
          <w:rFonts w:hint="eastAsia" w:ascii="宋体" w:hAnsi="宋体" w:eastAsia="宋体" w:cs="宋体"/>
          <w:b/>
          <w:color w:val="auto"/>
          <w:sz w:val="31"/>
          <w:szCs w:val="31"/>
          <w:highlight w:val="none"/>
        </w:rPr>
        <w:t xml:space="preserve">附件一、投标申请及声明格式</w:t>
      </w:r>
      <w:r/>
    </w:p>
    <w:p>
      <w:pPr>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color w:val="auto"/>
          <w:highlight w:val="none"/>
        </w:rPr>
      </w:pPr>
      <w:r>
        <w:rPr>
          <w:rFonts w:hint="eastAsia" w:ascii="宋体" w:hAnsi="宋体" w:eastAsia="宋体" w:cs="宋体"/>
          <w:color w:val="auto"/>
          <w:sz w:val="28"/>
          <w:szCs w:val="28"/>
          <w:highlight w:val="none"/>
        </w:rPr>
        <w:t xml:space="preserve">投标申请及声明</w:t>
      </w:r>
      <w:r/>
    </w:p>
    <w:p>
      <w:pPr>
        <w:spacing w:line="336"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lang w:eastAsia="zh-CN"/>
        </w:rPr>
        <w:t xml:space="preserve">南京市栖霞区农业农村局</w:t>
      </w:r>
      <w:r/>
    </w:p>
    <w:p>
      <w:pPr>
        <w:ind w:left="420"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根据贵方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u w:val="single"/>
        </w:rPr>
        <w:t xml:space="preserve">     （项目名称）</w:t>
      </w:r>
      <w:r>
        <w:rPr>
          <w:rFonts w:hint="eastAsia" w:ascii="宋体" w:hAnsi="宋体" w:eastAsia="宋体" w:cs="宋体"/>
          <w:color w:val="auto"/>
          <w:sz w:val="24"/>
          <w:highlight w:val="none"/>
        </w:rPr>
        <w:t xml:space="preserve">投标邀请，正式授权下述签字人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(姓名)代表供应商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（供应商名称），提交投标文件。</w:t>
      </w:r>
      <w:r/>
    </w:p>
    <w:p>
      <w:pPr>
        <w:ind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据此函，签字人兹宣布声明和承诺如下：</w:t>
      </w:r>
      <w:r/>
    </w:p>
    <w:p>
      <w:pPr>
        <w:ind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1、我们的资格条件完全符合政府采购法和本次招标要求，我们同意并向贵方提供了与投标有关的所有证据和资料。</w:t>
      </w:r>
      <w:r/>
    </w:p>
    <w:p>
      <w:pPr>
        <w:ind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2、按招标要求，我们的投标报价为</w:t>
      </w:r>
      <w:r>
        <w:rPr>
          <w:rFonts w:hint="eastAsia" w:ascii="宋体" w:hAnsi="宋体" w:eastAsia="宋体" w:cs="宋体"/>
          <w:color w:val="auto"/>
          <w:sz w:val="24"/>
          <w:highlight w:val="none"/>
          <w:u w:val="single"/>
        </w:rPr>
        <w:t xml:space="preserve">           元</w:t>
      </w:r>
      <w:r>
        <w:rPr>
          <w:rFonts w:hint="eastAsia" w:ascii="宋体" w:hAnsi="宋体" w:eastAsia="宋体" w:cs="宋体"/>
          <w:color w:val="auto"/>
          <w:sz w:val="24"/>
          <w:highlight w:val="none"/>
        </w:rPr>
        <w:t xml:space="preserve">，大写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其中，中、小、微型企业、残疾人 福利性单位、监狱企业产品</w:t>
      </w:r>
      <w:r>
        <w:rPr>
          <w:rFonts w:hint="eastAsia" w:ascii="宋体" w:hAnsi="宋体" w:eastAsia="宋体" w:cs="宋体"/>
          <w:color w:val="auto"/>
          <w:sz w:val="24"/>
          <w:highlight w:val="none"/>
          <w:u w:val="single"/>
        </w:rPr>
        <w:t xml:space="preserve">      元</w:t>
      </w:r>
      <w:r>
        <w:rPr>
          <w:rFonts w:hint="eastAsia" w:ascii="宋体" w:hAnsi="宋体" w:eastAsia="宋体" w:cs="宋体"/>
          <w:color w:val="auto"/>
          <w:sz w:val="24"/>
          <w:highlight w:val="none"/>
        </w:rPr>
        <w:t xml:space="preserve">。</w:t>
      </w:r>
      <w:r/>
    </w:p>
    <w:p>
      <w:pPr>
        <w:ind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3、项目负责人 </w:t>
      </w:r>
      <w:r>
        <w:rPr>
          <w:rFonts w:hint="eastAsia" w:ascii="宋体" w:hAnsi="宋体" w:eastAsia="宋体" w:cs="宋体"/>
          <w:color w:val="auto"/>
          <w:sz w:val="24"/>
          <w:highlight w:val="none"/>
          <w:u w:val="single"/>
        </w:rPr>
        <w:t xml:space="preserve">          （姓名）</w:t>
      </w:r>
      <w:r>
        <w:rPr>
          <w:rFonts w:hint="eastAsia" w:ascii="宋体" w:hAnsi="宋体" w:eastAsia="宋体" w:cs="宋体"/>
          <w:color w:val="auto"/>
          <w:sz w:val="24"/>
          <w:highlight w:val="none"/>
        </w:rPr>
        <w:t xml:space="preserve">；合同履行期限</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4、我们的投标产品中 </w:t>
      </w:r>
      <w:r>
        <w:rPr>
          <w:rFonts w:hint="eastAsia" w:ascii="宋体" w:hAnsi="宋体" w:eastAsia="宋体" w:cs="宋体"/>
          <w:color w:val="auto"/>
          <w:sz w:val="24"/>
          <w:highlight w:val="none"/>
          <w:u w:val="single"/>
        </w:rPr>
        <w:t xml:space="preserve">    （有或无）</w:t>
      </w:r>
      <w:r>
        <w:rPr>
          <w:rFonts w:hint="eastAsia" w:ascii="宋体" w:hAnsi="宋体" w:eastAsia="宋体" w:cs="宋体"/>
          <w:color w:val="auto"/>
          <w:sz w:val="24"/>
          <w:highlight w:val="none"/>
        </w:rPr>
        <w:t xml:space="preserve">进口产品。</w:t>
      </w:r>
      <w:r/>
    </w:p>
    <w:p>
      <w:pPr>
        <w:ind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5、我们已详细审核全部招标文件及其有效补充文件，我们放弃对招标文件任何误解的权利，提交投标文件后，不对招标文件本身提出质疑。</w:t>
      </w:r>
      <w:r/>
    </w:p>
    <w:p>
      <w:pPr>
        <w:ind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6、我们同意从规定的开标日期起遵循本投标文件，并在规定的投标有效期期满之前均具有约束力。</w:t>
      </w:r>
      <w:r/>
    </w:p>
    <w:p>
      <w:pPr>
        <w:ind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7、一旦我方中标，我方将根据招标文件的规定严格履行合同，并保证于承诺的时间完成货物的启动/集成、调试等服务，交付采购人验收、使用。</w:t>
      </w:r>
      <w:r/>
    </w:p>
    <w:p>
      <w:pPr>
        <w:ind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8、我方决不提供虚假材料谋取中标、决不采取不正当手段诋毁、排挤其他供应商、决不与采购人、其它供应商或者招标代理恶意串通、决不向采购人、采购单位工作人员和评委进行商业贿赂、决不在采购过程中与采购人进行协商谈判、决不拒绝有关部门监督检查或提供虚假情况，如有违反，无条件接受贵方及相关管理部门的处罚。</w:t>
      </w:r>
      <w:r/>
    </w:p>
    <w:p>
      <w:pPr>
        <w:ind w:firstLine="44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9、与本投标有关的正式联系方式为：</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p>
    <w:p>
      <w:pPr>
        <w:ind w:firstLine="420"/>
        <w:spacing w:line="336"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电话：</w:t>
      </w:r>
      <w:r>
        <w:rPr>
          <w:rFonts w:hint="eastAsia" w:ascii="宋体" w:hAnsi="宋体" w:eastAsia="宋体" w:cs="宋体"/>
          <w:color w:val="auto"/>
          <w:sz w:val="24"/>
          <w:highlight w:val="none"/>
          <w:u w:val="single"/>
        </w:rPr>
        <w:t xml:space="preserve">                </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u w:val="single"/>
        </w:rPr>
        <w:t xml:space="preserve">                </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银行账号：</w:t>
      </w:r>
      <w:r>
        <w:rPr>
          <w:rFonts w:hint="eastAsia" w:ascii="宋体" w:hAnsi="宋体" w:eastAsia="宋体" w:cs="宋体"/>
          <w:color w:val="auto"/>
          <w:sz w:val="24"/>
          <w:highlight w:val="none"/>
          <w:u w:val="single"/>
        </w:rPr>
        <w:t xml:space="preserve">                </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供应商授权代表姓名（签字</w:t>
      </w:r>
      <w:r>
        <w:rPr>
          <w:rFonts w:hint="eastAsia" w:ascii="宋体" w:hAnsi="宋体" w:eastAsia="宋体" w:cs="宋体"/>
          <w:color w:val="auto"/>
          <w:sz w:val="24"/>
          <w:highlight w:val="none"/>
          <w:lang w:val="en-US" w:eastAsia="zh-CN"/>
        </w:rPr>
        <w:t xml:space="preserve">或盖章</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p>
    <w:p>
      <w:pPr>
        <w:ind w:firstLine="420"/>
        <w:spacing w:line="33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（盖章）</w:t>
      </w:r>
      <w:r/>
    </w:p>
    <w:p>
      <w:pPr>
        <w:ind w:firstLine="42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日</w:t>
      </w:r>
      <w:r/>
    </w:p>
    <w:p>
      <w:pPr>
        <w:rPr>
          <w:rFonts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rPr>
          <w:rFonts w:hint="eastAsia" w:ascii="宋体" w:hAnsi="宋体" w:eastAsia="宋体" w:cs="宋体"/>
          <w:b/>
          <w:color w:val="auto"/>
          <w:sz w:val="31"/>
          <w:szCs w:val="31"/>
          <w:highlight w:val="none"/>
        </w:rPr>
        <w:t xml:space="preserve">附件二、法定代表人授权委托书格式</w:t>
      </w:r>
      <w:r/>
    </w:p>
    <w:p>
      <w:pPr>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jc w:val="center"/>
        <w:rPr>
          <w:rFonts w:ascii="宋体" w:hAnsi="宋体" w:eastAsia="宋体" w:cs="宋体"/>
          <w:color w:val="auto"/>
          <w:highlight w:val="none"/>
        </w:rPr>
      </w:pPr>
      <w:r>
        <w:rPr>
          <w:rFonts w:hint="eastAsia" w:ascii="宋体" w:hAnsi="宋体" w:eastAsia="宋体" w:cs="宋体"/>
          <w:color w:val="auto"/>
          <w:sz w:val="28"/>
          <w:szCs w:val="28"/>
          <w:highlight w:val="none"/>
        </w:rPr>
        <w:t xml:space="preserve">法定代表人授权委托书</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致：</w:t>
      </w:r>
      <w:r>
        <w:rPr>
          <w:rFonts w:hint="eastAsia" w:ascii="宋体" w:hAnsi="宋体" w:eastAsia="宋体" w:cs="宋体"/>
          <w:color w:val="auto"/>
          <w:sz w:val="24"/>
          <w:highlight w:val="none"/>
          <w:u w:val="single"/>
        </w:rPr>
        <w:t xml:space="preserve">         </w:t>
      </w:r>
      <w:r/>
    </w:p>
    <w:p>
      <w:pPr>
        <w:ind w:left="-420" w:firstLine="96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本授权书声明：注册于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（供应商住址）的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（法定代表人姓名）代表本公司授权在下面签字的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（供应商代表姓名）为本公司的合法代理人，就贵方组织的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（项目编号）投标，以本公司名义处理一切与之有关的事务。</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本授权书于  年  月  日签字生效，特此声明。</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rPr>
          <w:rFonts w:hint="eastAsia" w:ascii="宋体" w:hAnsi="宋体" w:eastAsia="宋体" w:cs="宋体"/>
          <w:color w:val="auto"/>
          <w:sz w:val="24"/>
          <w:highlight w:val="none"/>
          <w:lang w:val="en-US" w:eastAsia="zh-CN"/>
        </w:rPr>
        <w:t xml:space="preserve">或盖章</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授权委托人签字</w:t>
      </w:r>
      <w:r>
        <w:rPr>
          <w:rFonts w:hint="eastAsia" w:ascii="宋体" w:hAnsi="宋体" w:eastAsia="宋体" w:cs="宋体"/>
          <w:color w:val="auto"/>
          <w:sz w:val="24"/>
          <w:highlight w:val="none"/>
          <w:lang w:val="en-US" w:eastAsia="zh-CN"/>
        </w:rPr>
        <w:t xml:space="preserve">或盖章</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委托代理人的身份证的复印件:</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20"/>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spacing w:after="120"/>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spacing w:after="120"/>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rPr>
          <w:rFonts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附件三、开标一览表及分项报价表格式</w:t>
      </w:r>
      <w:r/>
    </w:p>
    <w:p>
      <w:pPr>
        <w:pStyle w:val="767"/>
        <w:rPr>
          <w:color w:val="auto"/>
          <w:highlight w:val="none"/>
        </w:rPr>
      </w:pPr>
      <w:r>
        <w:rPr>
          <w:color w:val="auto"/>
          <w:highlight w:val="none"/>
        </w:rPr>
      </w:r>
      <w:r/>
    </w:p>
    <w:p>
      <w:pPr>
        <w:ind w:firstLine="3960"/>
        <w:spacing w:line="360" w:lineRule="auto"/>
        <w:shd w:val="clear" w:color="auto" w:fill="ffffff"/>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开标一览表</w:t>
      </w:r>
      <w:r/>
    </w:p>
    <w:p>
      <w:pPr>
        <w:spacing w:line="360" w:lineRule="auto"/>
        <w:rPr>
          <w:rFonts w:ascii="宋体" w:hAnsi="宋体"/>
          <w:color w:val="auto"/>
          <w:sz w:val="24"/>
          <w:highlight w:val="none"/>
        </w:rPr>
      </w:pPr>
      <w:r>
        <w:rPr>
          <w:rFonts w:hint="eastAsia" w:ascii="宋体" w:hAnsi="宋体"/>
          <w:color w:val="auto"/>
          <w:sz w:val="24"/>
          <w:highlight w:val="none"/>
          <w:lang w:eastAsia="zh-CN"/>
        </w:rPr>
        <w:t xml:space="preserve">供应商</w:t>
      </w:r>
      <w:r>
        <w:rPr>
          <w:rFonts w:hint="eastAsia" w:ascii="宋体" w:hAnsi="宋体"/>
          <w:color w:val="auto"/>
          <w:sz w:val="24"/>
          <w:highlight w:val="none"/>
        </w:rPr>
        <w:t xml:space="preserve">名称：（加盖公章）</w:t>
      </w:r>
      <w:r/>
    </w:p>
    <w:p>
      <w:pPr>
        <w:spacing w:line="360" w:lineRule="auto"/>
        <w:rPr>
          <w:color w:val="auto"/>
          <w:sz w:val="24"/>
          <w:highlight w:val="none"/>
        </w:rPr>
      </w:pPr>
      <w:r>
        <w:rPr>
          <w:rFonts w:hint="eastAsia" w:ascii="宋体" w:hAnsi="宋体"/>
          <w:color w:val="auto"/>
          <w:sz w:val="24"/>
          <w:highlight w:val="none"/>
        </w:rPr>
        <w:t xml:space="preserve">项目名称：</w:t>
      </w:r>
      <w:r/>
    </w:p>
    <w:p>
      <w:pPr>
        <w:spacing w:line="360" w:lineRule="auto"/>
        <w:rPr>
          <w:rFonts w:ascii="宋体" w:hAnsi="宋体"/>
          <w:color w:val="auto"/>
          <w:sz w:val="24"/>
          <w:highlight w:val="none"/>
        </w:rPr>
      </w:pPr>
      <w:r>
        <w:rPr>
          <w:rFonts w:hint="eastAsia" w:ascii="宋体" w:hAnsi="宋体"/>
          <w:color w:val="auto"/>
          <w:sz w:val="24"/>
          <w:highlight w:val="none"/>
        </w:rPr>
        <w:t xml:space="preserve">项目编号：                                   </w:t>
      </w:r>
      <w:r/>
    </w:p>
    <w:p>
      <w:pPr>
        <w:spacing w:line="360" w:lineRule="auto"/>
        <w:rPr>
          <w:rFonts w:ascii="宋体" w:hAnsi="宋体"/>
          <w:color w:val="auto"/>
          <w:sz w:val="24"/>
          <w:highlight w:val="none"/>
        </w:rPr>
      </w:pPr>
      <w:r>
        <w:rPr>
          <w:rFonts w:hint="eastAsia" w:ascii="宋体" w:hAnsi="宋体"/>
          <w:color w:val="auto"/>
          <w:sz w:val="24"/>
          <w:highlight w:val="none"/>
        </w:rPr>
        <w:t xml:space="preserve">分包号：</w:t>
      </w:r>
      <w:r/>
    </w:p>
    <w:tbl>
      <w:tblPr>
        <w:tblStyle w:val="732"/>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42"/>
        </w:trPr>
        <w:tc>
          <w:tcPr>
            <w:tcW w:w="9450"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投标总报价（含税）</w:t>
            </w:r>
            <w:r/>
          </w:p>
        </w:tc>
      </w:tr>
      <w:tr>
        <w:trPr>
          <w:cantSplit/>
          <w:trHeight w:val="720"/>
        </w:trPr>
        <w:tc>
          <w:tcPr>
            <w:tcW w:w="9450" w:type="dxa"/>
            <w:vAlign w:val="center"/>
            <w:textDirection w:val="lrTb"/>
            <w:noWrap w:val="false"/>
          </w:tcPr>
          <w:p>
            <w:pPr>
              <w:pStyle w:val="948"/>
              <w:ind w:firstLine="0"/>
              <w:spacing w:before="0" w:after="0" w:line="500" w:lineRule="exact"/>
              <w:rPr>
                <w:rFonts w:ascii="宋体" w:hAnsi="宋体"/>
                <w:color w:val="auto"/>
                <w:szCs w:val="21"/>
                <w:highlight w:val="none"/>
              </w:rPr>
            </w:pPr>
            <w:r>
              <w:rPr>
                <w:rFonts w:hint="eastAsia" w:ascii="宋体" w:hAnsi="宋体" w:cs="宋体"/>
                <w:color w:val="auto"/>
                <w:highlight w:val="none"/>
              </w:rPr>
              <w:t xml:space="preserve">小写（人民币）：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                         </w:t>
            </w:r>
            <w:r/>
          </w:p>
        </w:tc>
      </w:tr>
      <w:tr>
        <w:trPr>
          <w:cantSplit/>
          <w:trHeight w:val="747"/>
        </w:trPr>
        <w:tc>
          <w:tcPr>
            <w:tcW w:w="9450" w:type="dxa"/>
            <w:vAlign w:val="center"/>
            <w:textDirection w:val="lrTb"/>
            <w:noWrap w:val="false"/>
          </w:tcPr>
          <w:p>
            <w:pPr>
              <w:pStyle w:val="948"/>
              <w:ind w:firstLine="0"/>
              <w:spacing w:before="0" w:after="0" w:line="500" w:lineRule="exact"/>
              <w:rPr>
                <w:rFonts w:ascii="宋体" w:hAnsi="宋体" w:cs="宋体"/>
                <w:color w:val="auto"/>
                <w:highlight w:val="none"/>
              </w:rPr>
            </w:pPr>
            <w:r>
              <w:rPr>
                <w:rFonts w:hint="eastAsia" w:ascii="宋体" w:hAnsi="宋体" w:cs="宋体"/>
                <w:color w:val="auto"/>
                <w:highlight w:val="none"/>
              </w:rPr>
              <w:t xml:space="preserve">大写（人民币）：</w:t>
            </w:r>
            <w:r>
              <w:rPr>
                <w:rFonts w:hint="eastAsia" w:ascii="宋体" w:hAnsi="宋体" w:cs="宋体"/>
                <w:color w:val="auto"/>
                <w:highlight w:val="none"/>
                <w:u w:val="single"/>
              </w:rPr>
              <w:t xml:space="preserve">        </w:t>
            </w:r>
            <w:r>
              <w:rPr>
                <w:rFonts w:hint="eastAsia" w:ascii="宋体" w:hAnsi="宋体" w:cs="宋体"/>
                <w:color w:val="auto"/>
                <w:highlight w:val="none"/>
              </w:rPr>
              <w:t xml:space="preserve">元    </w:t>
            </w:r>
            <w:r/>
          </w:p>
        </w:tc>
      </w:tr>
    </w:tbl>
    <w:p>
      <w:pPr>
        <w:rPr>
          <w:rFonts w:ascii="宋体" w:hAnsi="宋体"/>
          <w:color w:val="auto"/>
          <w:sz w:val="24"/>
          <w:highlight w:val="none"/>
        </w:rPr>
      </w:pPr>
      <w:r>
        <w:rPr>
          <w:rFonts w:ascii="宋体" w:hAnsi="宋体"/>
          <w:color w:val="auto"/>
          <w:sz w:val="24"/>
          <w:highlight w:val="none"/>
        </w:rPr>
      </w:r>
      <w:r/>
    </w:p>
    <w:p>
      <w:pPr>
        <w:ind w:right="180" w:firstLine="480"/>
        <w:jc w:val="right"/>
        <w:spacing w:line="560" w:lineRule="exact"/>
        <w:rPr>
          <w:rFonts w:ascii="宋体" w:hAnsi="宋体"/>
          <w:color w:val="auto"/>
          <w:sz w:val="24"/>
          <w:highlight w:val="none"/>
        </w:rPr>
      </w:pPr>
      <w:r>
        <w:rPr>
          <w:rFonts w:hint="eastAsia" w:ascii="宋体" w:hAnsi="宋体"/>
          <w:color w:val="auto"/>
          <w:sz w:val="24"/>
          <w:highlight w:val="none"/>
        </w:rPr>
        <w:t xml:space="preserve">                                             供应商名称：（加盖电子公章）</w:t>
      </w:r>
      <w:r/>
    </w:p>
    <w:p>
      <w:pPr>
        <w:ind w:firstLine="720"/>
        <w:rPr>
          <w:rFonts w:ascii="宋体" w:hAnsi="宋体"/>
          <w:color w:val="auto"/>
          <w:sz w:val="24"/>
          <w:highlight w:val="none"/>
        </w:rPr>
      </w:pPr>
      <w:r>
        <w:rPr>
          <w:rFonts w:hint="eastAsia" w:ascii="宋体" w:hAnsi="宋体"/>
          <w:color w:val="auto"/>
          <w:sz w:val="24"/>
          <w:highlight w:val="none"/>
        </w:rPr>
        <w:t xml:space="preserve">                                              日  期：</w:t>
      </w:r>
      <w:r/>
    </w:p>
    <w:p>
      <w:pPr>
        <w:ind w:firstLine="480"/>
        <w:rPr>
          <w:rFonts w:ascii="黑体" w:hAnsi="黑体" w:eastAsia="黑体"/>
          <w:b/>
          <w:i/>
          <w:color w:val="auto"/>
          <w:sz w:val="32"/>
          <w:szCs w:val="32"/>
          <w:highlight w:val="none"/>
          <w:u w:val="single"/>
        </w:rPr>
      </w:pPr>
      <w:r>
        <w:rPr>
          <w:rFonts w:ascii="黑体" w:hAnsi="黑体" w:eastAsia="黑体"/>
          <w:b/>
          <w:i/>
          <w:color w:val="auto"/>
          <w:sz w:val="32"/>
          <w:szCs w:val="32"/>
          <w:highlight w:val="none"/>
          <w:u w:val="single"/>
        </w:rPr>
      </w:r>
      <w:r/>
    </w:p>
    <w:p>
      <w:pPr>
        <w:rPr>
          <w:rFonts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分项报价表</w:t>
      </w:r>
      <w:r/>
    </w:p>
    <w:p>
      <w:pPr>
        <w:ind w:firstLine="420"/>
        <w:jc w:val="center"/>
        <w:keepLines w:val="0"/>
        <w:keepNext w:val="0"/>
        <w:pageBreakBefore w:val="0"/>
        <w:spacing w:line="360" w:lineRule="auto"/>
        <w:widowControl w:val="off"/>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如有，格式自拟）</w:t>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说明：供应商应分项进行填报，表中表格行数可自行添加。</w:t>
      </w:r>
      <w:r>
        <w:rPr>
          <w:rFonts w:hint="eastAsia" w:ascii="宋体" w:hAnsi="宋体" w:eastAsia="宋体" w:cs="宋体"/>
          <w:color w:val="auto"/>
          <w:szCs w:val="21"/>
          <w:highlight w:val="none"/>
          <w:lang w:val="en-US" w:eastAsia="zh-CN"/>
        </w:rPr>
        <w:t xml:space="preserve">招标</w:t>
      </w:r>
      <w:r>
        <w:rPr>
          <w:rFonts w:hint="eastAsia" w:ascii="宋体" w:hAnsi="宋体" w:eastAsia="宋体" w:cs="宋体"/>
          <w:color w:val="auto"/>
          <w:szCs w:val="21"/>
          <w:highlight w:val="none"/>
        </w:rPr>
        <w:t xml:space="preserve">文件中未列出的相关辅助材料和在实施过程中涉及到的其它一切费用应在报价时一并考虑，项目实施过程中不再单独结算。表中报价总计应与对应报价一览表中总报价一致。</w:t>
      </w:r>
      <w:r/>
    </w:p>
    <w:p>
      <w:pPr>
        <w:ind w:firstLine="420"/>
        <w:keepLines w:val="0"/>
        <w:keepNext w:val="0"/>
        <w:pageBreakBefore w:val="0"/>
        <w:spacing w:line="360" w:lineRule="auto"/>
        <w:widowControl w:val="off"/>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在“备注（符合小微企业等规定的请注明）”栏内，填写“符合 小微型企业/监狱企业/残疾人福利性产品 报价”，“小微型企业、监狱企业或残疾人福利性产品报价总计”填写汇总价（报价折扣无需折算），如果未按上表格式填写，评审时将不享受价格扣除。</w:t>
      </w:r>
      <w:r/>
    </w:p>
    <w:p>
      <w:pPr>
        <w:ind w:right="9"/>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right="9"/>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right="9"/>
        <w:spacing w:line="360" w:lineRule="auto"/>
        <w:rPr>
          <w:rFonts w:ascii="宋体" w:hAnsi="宋体" w:eastAsia="宋体" w:cs="宋体"/>
          <w:color w:val="auto"/>
          <w:szCs w:val="21"/>
          <w:highlight w:val="none"/>
        </w:rPr>
      </w:pPr>
      <w:r>
        <w:rPr>
          <w:rFonts w:ascii="宋体" w:hAnsi="宋体" w:eastAsia="宋体" w:cs="宋体"/>
          <w:color w:val="auto"/>
          <w:szCs w:val="21"/>
          <w:highlight w:val="none"/>
        </w:rPr>
      </w:r>
      <w:r/>
    </w:p>
    <w:p>
      <w:pPr>
        <w:ind w:right="9"/>
        <w:jc w:val="right"/>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供应商名称：</w:t>
      </w:r>
      <w:r>
        <w:rPr>
          <w:rFonts w:hint="eastAsia" w:ascii="宋体" w:hAnsi="宋体" w:eastAsia="宋体" w:cs="宋体"/>
          <w:color w:val="auto"/>
          <w:sz w:val="24"/>
          <w:highlight w:val="none"/>
          <w:u w:val="single"/>
        </w:rPr>
        <w:t xml:space="preserve">（盖章）</w:t>
      </w:r>
      <w:r/>
    </w:p>
    <w:p>
      <w:pPr>
        <w:ind w:right="9"/>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法定代表人或其授权代理人：</w:t>
      </w:r>
      <w:r>
        <w:rPr>
          <w:rFonts w:hint="eastAsia" w:ascii="宋体" w:hAnsi="宋体" w:eastAsia="宋体" w:cs="宋体"/>
          <w:color w:val="auto"/>
          <w:sz w:val="24"/>
          <w:highlight w:val="none"/>
          <w:u w:val="single"/>
        </w:rPr>
        <w:t xml:space="preserve">（签字</w:t>
      </w:r>
      <w:r>
        <w:rPr>
          <w:rFonts w:hint="eastAsia" w:ascii="宋体" w:hAnsi="宋体" w:eastAsia="宋体" w:cs="宋体"/>
          <w:color w:val="auto"/>
          <w:sz w:val="24"/>
          <w:highlight w:val="none"/>
          <w:u w:val="single"/>
          <w:lang w:val="en-US" w:eastAsia="zh-CN"/>
        </w:rPr>
        <w:t xml:space="preserve">或盖章</w:t>
      </w:r>
      <w:r>
        <w:rPr>
          <w:rFonts w:hint="eastAsia" w:ascii="宋体" w:hAnsi="宋体" w:eastAsia="宋体" w:cs="宋体"/>
          <w:color w:val="auto"/>
          <w:sz w:val="24"/>
          <w:highlight w:val="none"/>
          <w:u w:val="single"/>
        </w:rPr>
        <w:t xml:space="preserve">）</w:t>
      </w:r>
      <w:r/>
    </w:p>
    <w:p>
      <w:pPr>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360" w:lineRule="auto"/>
        <w:shd w:val="clear" w:color="auto" w:fill="ffffff"/>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rPr>
          <w:rFonts w:ascii="宋体" w:hAnsi="宋体" w:eastAsia="宋体" w:cs="宋体"/>
          <w:b/>
          <w:color w:val="auto"/>
          <w:sz w:val="31"/>
          <w:szCs w:val="31"/>
          <w:highlight w:val="none"/>
        </w:rPr>
        <w:sectPr>
          <w:headerReference w:type="default" r:id="rId9"/>
          <w:footerReference w:type="default" r:id="rId10"/>
          <w:footnotePr/>
          <w:endnotePr/>
          <w:type w:val="nextPage"/>
          <w:pgSz w:w="11900" w:h="16838" w:orient="portrait"/>
          <w:pgMar w:top="1270" w:right="1242" w:bottom="1157" w:left="1179" w:header="794" w:footer="680" w:gutter="0"/>
          <w:cols w:num="1" w:sep="0" w:space="0" w:equalWidth="1"/>
          <w:docGrid w:linePitch="360"/>
        </w:sectPr>
      </w:pPr>
      <w:r>
        <w:rPr>
          <w:rFonts w:hint="eastAsia" w:ascii="宋体" w:hAnsi="宋体" w:eastAsia="宋体" w:cs="宋体"/>
          <w:b/>
          <w:color w:val="auto"/>
          <w:sz w:val="31"/>
          <w:szCs w:val="31"/>
          <w:highlight w:val="none"/>
        </w:rPr>
        <w:br w:type="page" w:clear="all"/>
      </w:r>
      <w:r/>
    </w:p>
    <w:p>
      <w:pPr>
        <w:spacing w:line="360" w:lineRule="auto"/>
        <w:shd w:val="clear" w:color="auto" w:fill="ffffff"/>
        <w:rPr>
          <w:rFonts w:ascii="宋体" w:hAnsi="宋体" w:eastAsia="宋体" w:cs="宋体"/>
          <w:b/>
          <w:bCs/>
          <w:color w:val="auto"/>
          <w:sz w:val="24"/>
          <w:highlight w:val="none"/>
          <w:lang w:val="zh-CN"/>
        </w:rPr>
      </w:pPr>
      <w:r>
        <w:rPr>
          <w:rFonts w:hint="eastAsia" w:ascii="宋体" w:hAnsi="宋体" w:eastAsia="宋体" w:cs="宋体"/>
          <w:b/>
          <w:color w:val="auto"/>
          <w:sz w:val="31"/>
          <w:szCs w:val="31"/>
          <w:highlight w:val="none"/>
        </w:rPr>
        <w:t xml:space="preserve">附件四、</w:t>
      </w:r>
      <w:r>
        <w:rPr>
          <w:rFonts w:hint="eastAsia" w:ascii="宋体" w:hAnsi="宋体" w:eastAsia="宋体" w:cs="宋体"/>
          <w:b/>
          <w:color w:val="auto"/>
          <w:sz w:val="31"/>
          <w:szCs w:val="31"/>
          <w:highlight w:val="none"/>
          <w:lang w:val="zh-CN"/>
        </w:rPr>
        <w:t xml:space="preserve">技术规格偏离表格式 </w:t>
      </w:r>
      <w:r/>
    </w:p>
    <w:p>
      <w:pPr>
        <w:ind w:left="420"/>
        <w:jc w:val="center"/>
        <w:spacing w:line="360" w:lineRule="auto"/>
        <w:shd w:val="clear" w:color="auto" w:fill="ffffff"/>
        <w:rPr>
          <w:rFonts w:ascii="宋体" w:hAnsi="宋体" w:eastAsia="宋体" w:cs="宋体"/>
          <w:color w:val="auto"/>
          <w:highlight w:val="none"/>
        </w:rPr>
      </w:pPr>
      <w:r>
        <w:rPr>
          <w:rFonts w:hint="eastAsia" w:ascii="宋体" w:hAnsi="宋体" w:eastAsia="宋体" w:cs="宋体"/>
          <w:color w:val="auto"/>
          <w:sz w:val="36"/>
          <w:szCs w:val="36"/>
          <w:highlight w:val="none"/>
        </w:rPr>
        <w:t xml:space="preserve">技术规格偏离表</w:t>
      </w:r>
      <w:r/>
    </w:p>
    <w:tbl>
      <w:tblPr>
        <w:tblStyle w:val="732"/>
        <w:tblW w:w="9000" w:type="dxa"/>
        <w:jc w:val="center"/>
        <w:tblLayout w:type="fixed"/>
        <w:tblCellMar>
          <w:left w:w="0" w:type="dxa"/>
          <w:top w:w="0" w:type="dxa"/>
          <w:right w:w="0" w:type="dxa"/>
          <w:bottom w:w="0" w:type="dxa"/>
        </w:tblCellMar>
        <w:tblLook w:val="04A0" w:firstRow="1" w:lastRow="0" w:firstColumn="1" w:lastColumn="0" w:noHBand="0" w:noVBand="1"/>
      </w:tblPr>
      <w:tblGrid>
        <w:gridCol w:w="985"/>
        <w:gridCol w:w="1755"/>
        <w:gridCol w:w="1500"/>
        <w:gridCol w:w="2376"/>
        <w:gridCol w:w="1349"/>
        <w:gridCol w:w="1035"/>
      </w:tblGrid>
      <w:tr>
        <w:trPr>
          <w:jc w:val="center"/>
          <w:trHeight w:val="450"/>
        </w:trPr>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240"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76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项目编号：</w:t>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招标要求规格</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偏离</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备注</w:t>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69"/>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488"/>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8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5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50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6"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49"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035"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bl>
    <w:p>
      <w:pPr>
        <w:spacing w:line="360" w:lineRule="auto"/>
        <w:shd w:val="clear" w:color="auto" w:fill="ffffff"/>
        <w:rPr>
          <w:rFonts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说明：1、如果行数不够，请自行增加。</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right="9"/>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供应商名称：（加盖电子公章）</w:t>
      </w:r>
      <w:r/>
    </w:p>
    <w:p>
      <w:pPr>
        <w:ind w:right="9"/>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rPr>
          <w:rFonts w:ascii="宋体" w:hAnsi="宋体" w:eastAsia="宋体" w:cs="宋体"/>
          <w:color w:val="auto"/>
          <w:highlight w:val="none"/>
        </w:rPr>
      </w:pPr>
      <w:r>
        <w:rPr>
          <w:rFonts w:ascii="宋体" w:hAnsi="宋体" w:eastAsia="宋体" w:cs="宋体"/>
          <w:color w:val="auto"/>
          <w:highlight w:val="none"/>
        </w:rPr>
      </w:r>
      <w:r/>
    </w:p>
    <w:p>
      <w:pPr>
        <w:spacing w:line="360" w:lineRule="auto"/>
        <w:shd w:val="clear" w:color="auto" w:fill="ffffff"/>
        <w:rPr>
          <w:rFonts w:ascii="宋体" w:hAnsi="宋体" w:eastAsia="宋体" w:cs="宋体"/>
          <w:color w:val="auto"/>
          <w:highlight w:val="none"/>
        </w:rPr>
      </w:pPr>
      <w:r/>
      <w:bookmarkStart w:id="9" w:name="_Toc2435"/>
      <w:r/>
      <w:bookmarkStart w:id="10" w:name="_Toc481604684"/>
      <w:r>
        <w:rPr>
          <w:rFonts w:hint="eastAsia" w:ascii="宋体" w:hAnsi="宋体" w:eastAsia="宋体" w:cs="宋体"/>
          <w:b/>
          <w:color w:val="auto"/>
          <w:sz w:val="31"/>
          <w:szCs w:val="31"/>
          <w:highlight w:val="none"/>
        </w:rPr>
        <w:t xml:space="preserve">附件五、商务条款偏离表格式</w:t>
      </w:r>
      <w:bookmarkEnd w:id="9"/>
      <w:r/>
      <w:bookmarkEnd w:id="10"/>
      <w:r/>
      <w:r/>
    </w:p>
    <w:p>
      <w:pPr>
        <w:ind w:left="420"/>
        <w:jc w:val="center"/>
        <w:spacing w:line="360" w:lineRule="auto"/>
        <w:shd w:val="clear" w:color="auto" w:fill="ffffff"/>
        <w:rPr>
          <w:rFonts w:ascii="宋体" w:hAnsi="宋体" w:eastAsia="宋体" w:cs="宋体"/>
          <w:color w:val="auto"/>
          <w:highlight w:val="none"/>
        </w:rPr>
      </w:pPr>
      <w:r>
        <w:rPr>
          <w:rFonts w:hint="eastAsia" w:ascii="宋体" w:hAnsi="宋体" w:eastAsia="宋体" w:cs="宋体"/>
          <w:color w:val="auto"/>
          <w:sz w:val="36"/>
          <w:szCs w:val="36"/>
          <w:highlight w:val="none"/>
        </w:rPr>
        <w:t xml:space="preserve">商务条款偏离表</w:t>
      </w:r>
      <w:r/>
    </w:p>
    <w:tbl>
      <w:tblPr>
        <w:tblStyle w:val="732"/>
        <w:tblW w:w="10330" w:type="dxa"/>
        <w:jc w:val="center"/>
        <w:tblLayout w:type="fixed"/>
        <w:tblCellMar>
          <w:left w:w="0" w:type="dxa"/>
          <w:top w:w="0" w:type="dxa"/>
          <w:right w:w="0" w:type="dxa"/>
          <w:bottom w:w="0" w:type="dxa"/>
        </w:tblCellMar>
        <w:tblLook w:val="04A0" w:firstRow="1" w:lastRow="0" w:firstColumn="1" w:lastColumn="0" w:noHBand="0" w:noVBand="1"/>
      </w:tblPr>
      <w:tblGrid>
        <w:gridCol w:w="903"/>
        <w:gridCol w:w="1784"/>
        <w:gridCol w:w="2370"/>
        <w:gridCol w:w="933"/>
        <w:gridCol w:w="1759"/>
        <w:gridCol w:w="1201"/>
        <w:gridCol w:w="1380"/>
      </w:tblGrid>
      <w:tr>
        <w:trPr>
          <w:jc w:val="center"/>
          <w:trHeight w:val="284"/>
          <w:tblHeader/>
        </w:trPr>
        <w:tc>
          <w:tcPr>
            <w:gridSpan w:val="4"/>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5990"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gridSpan w:val="3"/>
            <w:tcBorders>
              <w:top w:val="none" w:color="000000" w:sz="4" w:space="0"/>
              <w:left w:val="none" w:color="000000" w:sz="4" w:space="0"/>
              <w:bottom w:val="single" w:color="auto" w:sz="8" w:space="0"/>
              <w:right w:val="none" w:color="000000" w:sz="4" w:space="0"/>
            </w:tcBorders>
            <w:tcMar>
              <w:left w:w="10" w:type="dxa"/>
              <w:top w:w="0" w:type="dxa"/>
              <w:right w:w="10" w:type="dxa"/>
              <w:bottom w:w="0" w:type="dxa"/>
            </w:tcMar>
            <w:tcW w:w="4340" w:type="dxa"/>
            <w:vAlign w:val="center"/>
            <w:textDirection w:val="lrTb"/>
            <w:noWrap w:val="false"/>
          </w:tcPr>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招标文件条目号</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招标文件要求的</w:t>
            </w:r>
            <w:r/>
          </w:p>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商务条款</w:t>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投标响应</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偏离</w:t>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备注</w:t>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284"/>
        </w:trPr>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903"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784"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37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gridSpan w:val="2"/>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2692"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201"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8" w:space="0"/>
              <w:left w:val="single" w:color="auto" w:sz="8" w:space="0"/>
              <w:bottom w:val="single" w:color="auto" w:sz="8" w:space="0"/>
              <w:right w:val="single" w:color="auto" w:sz="8" w:space="0"/>
            </w:tcBorders>
            <w:tcMar>
              <w:left w:w="10" w:type="dxa"/>
              <w:top w:w="0" w:type="dxa"/>
              <w:right w:w="10" w:type="dxa"/>
              <w:bottom w:w="0" w:type="dxa"/>
            </w:tcMar>
            <w:tcW w:w="1380" w:type="dxa"/>
            <w:vAlign w:val="center"/>
            <w:textDirection w:val="lrTb"/>
            <w:noWrap w:val="false"/>
          </w:tcPr>
          <w:p>
            <w:pPr>
              <w:jc w:val="cente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Pr>
        <w:tc>
          <w:tcPr>
            <w:tcBorders>
              <w:top w:val="none" w:color="000000" w:sz="4" w:space="0"/>
              <w:left w:val="none" w:color="000000" w:sz="4" w:space="0"/>
              <w:bottom w:val="none" w:color="000000" w:sz="4" w:space="0"/>
              <w:right w:val="none" w:color="000000" w:sz="4" w:space="0"/>
            </w:tcBorders>
            <w:tcW w:w="903"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784"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2370"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933"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none" w:color="000000" w:sz="4" w:space="0"/>
              <w:left w:val="none" w:color="000000" w:sz="4" w:space="0"/>
              <w:bottom w:val="none" w:color="000000" w:sz="4" w:space="0"/>
              <w:right w:val="none" w:color="000000" w:sz="4" w:space="0"/>
            </w:tcBorders>
            <w:tcW w:w="1380" w:type="dxa"/>
            <w:vAlign w:val="center"/>
            <w:textDirection w:val="lrTb"/>
            <w:noWrap w:val="false"/>
          </w:tcPr>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c>
      </w:tr>
    </w:tbl>
    <w:p>
      <w:pPr>
        <w:spacing w:line="360" w:lineRule="auto"/>
        <w:rPr>
          <w:rFonts w:ascii="宋体" w:hAnsi="宋体" w:eastAsia="宋体" w:cs="宋体"/>
          <w:color w:val="auto"/>
          <w:szCs w:val="22"/>
          <w:highlight w:val="none"/>
        </w:rPr>
      </w:pPr>
      <w:r>
        <w:rPr>
          <w:rFonts w:hint="eastAsia" w:ascii="宋体" w:hAnsi="宋体" w:eastAsia="宋体" w:cs="宋体"/>
          <w:color w:val="auto"/>
          <w:szCs w:val="22"/>
          <w:highlight w:val="none"/>
        </w:rPr>
        <w:t xml:space="preserve">说明：如果行数不够，请自行增加。</w:t>
      </w:r>
      <w:r/>
    </w:p>
    <w:p>
      <w:pPr>
        <w:ind w:right="9"/>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供应商名称：（加盖电子公章）</w:t>
      </w:r>
      <w:r/>
    </w:p>
    <w:p>
      <w:pPr>
        <w:ind w:right="9"/>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spacing w:line="360" w:lineRule="auto"/>
        <w:shd w:val="clear" w:color="auto" w:fill="ffffff"/>
        <w:rPr>
          <w:rFonts w:ascii="宋体" w:hAnsi="宋体" w:eastAsia="宋体" w:cs="宋体"/>
          <w:b/>
          <w:bCs/>
          <w:color w:val="auto"/>
          <w:sz w:val="31"/>
          <w:szCs w:val="31"/>
          <w:highlight w:val="none"/>
        </w:rPr>
      </w:pPr>
      <w:r>
        <w:rPr>
          <w:rFonts w:hint="eastAsia" w:ascii="宋体" w:hAnsi="宋体" w:eastAsia="宋体" w:cs="宋体"/>
          <w:b/>
          <w:color w:val="auto"/>
          <w:sz w:val="31"/>
          <w:szCs w:val="31"/>
          <w:highlight w:val="none"/>
        </w:rPr>
        <w:t xml:space="preserve">附件六、方案及服务承诺</w:t>
      </w:r>
      <w:r/>
    </w:p>
    <w:p>
      <w:pPr>
        <w:ind w:firstLine="420"/>
        <w:rPr>
          <w:rFonts w:ascii="宋体" w:hAnsi="宋体" w:eastAsia="宋体" w:cs="宋体"/>
          <w:color w:val="auto"/>
          <w:highlight w:val="none"/>
        </w:rPr>
      </w:pPr>
      <w:r>
        <w:rPr>
          <w:rFonts w:hint="eastAsia" w:ascii="宋体" w:hAnsi="宋体" w:eastAsia="宋体" w:cs="宋体"/>
          <w:color w:val="auto"/>
          <w:highlight w:val="none"/>
        </w:rPr>
        <w:t xml:space="preserve">方案及服务承诺应根据采购人对项目的要求、评标标准的要求及项目本身的特点编写。</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shd w:val="clear" w:color="auto" w:fill="ffffff"/>
        <w:rPr>
          <w:rFonts w:ascii="宋体" w:hAnsi="宋体" w:eastAsia="宋体" w:cs="宋体"/>
          <w:b/>
          <w:color w:val="auto"/>
          <w:sz w:val="31"/>
          <w:szCs w:val="31"/>
          <w:highlight w:val="none"/>
          <w:lang w:val="zh-CN"/>
        </w:rPr>
      </w:pPr>
      <w:r>
        <w:rPr>
          <w:rFonts w:hint="eastAsia" w:ascii="宋体" w:hAnsi="宋体" w:eastAsia="宋体" w:cs="宋体"/>
          <w:b/>
          <w:color w:val="auto"/>
          <w:sz w:val="31"/>
          <w:szCs w:val="31"/>
          <w:highlight w:val="none"/>
        </w:rPr>
        <w:t xml:space="preserve">附件七、</w:t>
      </w:r>
      <w:r>
        <w:rPr>
          <w:rFonts w:hint="eastAsia" w:ascii="宋体" w:hAnsi="宋体" w:eastAsia="宋体" w:cs="宋体"/>
          <w:b/>
          <w:color w:val="auto"/>
          <w:sz w:val="31"/>
          <w:szCs w:val="31"/>
          <w:highlight w:val="none"/>
          <w:lang w:val="zh-CN"/>
        </w:rPr>
        <w:t xml:space="preserve">供应商类似业绩情况表</w:t>
      </w:r>
      <w:r/>
    </w:p>
    <w:p>
      <w:pPr>
        <w:ind w:firstLine="480"/>
        <w:spacing w:line="360" w:lineRule="auto"/>
        <w:rPr>
          <w:rFonts w:ascii="宋体" w:hAnsi="宋体" w:eastAsia="宋体" w:cs="宋体"/>
          <w:color w:val="auto"/>
          <w:sz w:val="24"/>
          <w:highlight w:val="none"/>
          <w:lang w:val="zh-CN"/>
        </w:rPr>
      </w:pPr>
      <w:r>
        <w:rPr>
          <w:rFonts w:ascii="宋体" w:hAnsi="宋体" w:eastAsia="宋体" w:cs="宋体"/>
          <w:color w:val="auto"/>
          <w:sz w:val="24"/>
          <w:highlight w:val="none"/>
          <w:lang w:val="zh-CN"/>
        </w:rPr>
      </w:r>
      <w:r/>
    </w:p>
    <w:tbl>
      <w:tblPr>
        <w:tblStyle w:val="732"/>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3812"/>
        <w:gridCol w:w="1572"/>
        <w:gridCol w:w="1164"/>
        <w:gridCol w:w="1395"/>
      </w:tblGrid>
      <w:tr>
        <w:trPr>
          <w:jc w:val="center"/>
          <w:trHeight w:val="1315"/>
        </w:trPr>
        <w:tc>
          <w:tcPr>
            <w:tcW w:w="1129" w:type="dxa"/>
            <w:vAlign w:val="center"/>
            <w:textDirection w:val="lrTb"/>
            <w:noWrap w:val="false"/>
          </w:tcPr>
          <w:p>
            <w:pPr>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序号</w:t>
            </w:r>
            <w:r/>
          </w:p>
        </w:tc>
        <w:tc>
          <w:tcPr>
            <w:tcW w:w="3812" w:type="dxa"/>
            <w:vAlign w:val="center"/>
            <w:textDirection w:val="lrTb"/>
            <w:noWrap w:val="false"/>
          </w:tcPr>
          <w:p>
            <w:pPr>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项目名称</w:t>
            </w:r>
            <w:r/>
          </w:p>
        </w:tc>
        <w:tc>
          <w:tcPr>
            <w:tcW w:w="1572" w:type="dxa"/>
            <w:vAlign w:val="center"/>
            <w:textDirection w:val="lrTb"/>
            <w:noWrap w:val="false"/>
          </w:tcPr>
          <w:p>
            <w:pPr>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业主单位</w:t>
            </w:r>
            <w:r/>
          </w:p>
        </w:tc>
        <w:tc>
          <w:tcPr>
            <w:tcW w:w="1164"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合同签订时间</w:t>
            </w:r>
            <w:r/>
          </w:p>
        </w:tc>
        <w:tc>
          <w:tcPr>
            <w:tcW w:w="1395" w:type="dxa"/>
            <w:vAlign w:val="center"/>
            <w:textDirection w:val="lrTb"/>
            <w:noWrap w:val="false"/>
          </w:tcPr>
          <w:p>
            <w:pPr>
              <w:jc w:val="center"/>
              <w:rPr>
                <w:rFonts w:ascii="宋体" w:hAnsi="宋体" w:eastAsia="宋体" w:cs="宋体"/>
                <w:b/>
                <w:bCs/>
                <w:color w:val="auto"/>
                <w:highlight w:val="none"/>
                <w:lang w:val="zh-CN"/>
              </w:rPr>
            </w:pPr>
            <w:r>
              <w:rPr>
                <w:rFonts w:hint="eastAsia" w:ascii="宋体" w:hAnsi="宋体" w:eastAsia="宋体" w:cs="宋体"/>
                <w:b/>
                <w:bCs/>
                <w:color w:val="auto"/>
                <w:highlight w:val="none"/>
                <w:lang w:val="zh-CN"/>
              </w:rPr>
              <w:t xml:space="preserve">备注</w:t>
            </w:r>
            <w:r/>
          </w:p>
        </w:tc>
      </w:tr>
      <w:tr>
        <w:trPr>
          <w:jc w:val="center"/>
          <w:trHeight w:val="352"/>
        </w:trPr>
        <w:tc>
          <w:tcPr>
            <w:tcW w:w="1129"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381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57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164"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395"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r>
      <w:tr>
        <w:trPr>
          <w:jc w:val="center"/>
          <w:trHeight w:val="352"/>
        </w:trPr>
        <w:tc>
          <w:tcPr>
            <w:tcW w:w="1129"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3812" w:type="dxa"/>
            <w:textDirection w:val="lrTb"/>
            <w:noWrap w:val="false"/>
          </w:tcPr>
          <w:p>
            <w:pPr>
              <w:rPr>
                <w:rFonts w:ascii="宋体" w:hAnsi="宋体" w:eastAsia="宋体" w:cs="宋体"/>
                <w:color w:val="auto"/>
                <w:szCs w:val="22"/>
                <w:highlight w:val="none"/>
                <w:lang w:val="zh-CN"/>
              </w:rPr>
            </w:pPr>
            <w:r>
              <w:rPr>
                <w:rFonts w:ascii="宋体" w:hAnsi="宋体" w:eastAsia="宋体" w:cs="宋体"/>
                <w:color w:val="auto"/>
                <w:szCs w:val="22"/>
                <w:highlight w:val="none"/>
                <w:lang w:val="zh-CN"/>
              </w:rPr>
            </w:r>
            <w:r/>
          </w:p>
        </w:tc>
        <w:tc>
          <w:tcPr>
            <w:tcW w:w="157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164"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395"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r>
      <w:tr>
        <w:trPr>
          <w:jc w:val="center"/>
          <w:trHeight w:val="362"/>
        </w:trPr>
        <w:tc>
          <w:tcPr>
            <w:tcW w:w="1129"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381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57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164"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395"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r>
      <w:tr>
        <w:trPr>
          <w:jc w:val="center"/>
          <w:trHeight w:val="362"/>
        </w:trPr>
        <w:tc>
          <w:tcPr>
            <w:tcW w:w="1129"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381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57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164"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395"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r>
      <w:tr>
        <w:trPr>
          <w:jc w:val="center"/>
          <w:trHeight w:val="362"/>
        </w:trPr>
        <w:tc>
          <w:tcPr>
            <w:tcW w:w="1129"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381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57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164"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395"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r>
      <w:tr>
        <w:trPr>
          <w:jc w:val="center"/>
          <w:trHeight w:val="362"/>
        </w:trPr>
        <w:tc>
          <w:tcPr>
            <w:tcW w:w="1129"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381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57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164"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395"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r>
      <w:tr>
        <w:trPr>
          <w:jc w:val="center"/>
          <w:trHeight w:val="362"/>
        </w:trPr>
        <w:tc>
          <w:tcPr>
            <w:tcW w:w="1129"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381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57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164"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395"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r>
      <w:tr>
        <w:trPr>
          <w:jc w:val="center"/>
          <w:trHeight w:val="362"/>
        </w:trPr>
        <w:tc>
          <w:tcPr>
            <w:tcW w:w="1129"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381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572"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164"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c>
          <w:tcPr>
            <w:tcW w:w="1395" w:type="dxa"/>
            <w:textDirection w:val="lrTb"/>
            <w:noWrap w:val="false"/>
          </w:tcPr>
          <w:p>
            <w:pPr>
              <w:rPr>
                <w:rFonts w:ascii="宋体" w:hAnsi="宋体" w:eastAsia="宋体" w:cs="宋体"/>
                <w:color w:val="auto"/>
                <w:highlight w:val="none"/>
                <w:lang w:val="zh-CN"/>
              </w:rPr>
            </w:pPr>
            <w:r>
              <w:rPr>
                <w:rFonts w:ascii="宋体" w:hAnsi="宋体" w:eastAsia="宋体" w:cs="宋体"/>
                <w:color w:val="auto"/>
                <w:highlight w:val="none"/>
                <w:lang w:val="zh-CN"/>
              </w:rPr>
            </w:r>
            <w:r/>
          </w:p>
        </w:tc>
      </w:tr>
    </w:tbl>
    <w:p>
      <w:pPr>
        <w:ind w:firstLine="420"/>
        <w:rPr>
          <w:rFonts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说明：</w:t>
      </w:r>
      <w:r/>
    </w:p>
    <w:p>
      <w:pPr>
        <w:ind w:firstLine="420"/>
        <w:spacing w:line="360" w:lineRule="auto"/>
        <w:rPr>
          <w:rFonts w:ascii="宋体" w:hAnsi="宋体" w:eastAsia="宋体" w:cs="宋体"/>
          <w:b/>
          <w:bCs/>
          <w:color w:val="auto"/>
          <w:szCs w:val="21"/>
          <w:highlight w:val="none"/>
        </w:rPr>
      </w:pPr>
      <w:r>
        <w:rPr>
          <w:rFonts w:hint="eastAsia" w:ascii="宋体" w:hAnsi="宋体" w:eastAsia="宋体" w:cs="宋体"/>
          <w:color w:val="auto"/>
          <w:szCs w:val="21"/>
          <w:highlight w:val="none"/>
          <w:lang w:val="zh-CN"/>
        </w:rPr>
        <w:t xml:space="preserve">1、如果行、列数不够，请自行增加。</w:t>
      </w:r>
      <w:r/>
    </w:p>
    <w:p>
      <w:pPr>
        <w:ind w:firstLine="422"/>
        <w:spacing w:line="360" w:lineRule="auto"/>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2、请供应商根据本格式要求如实填写业绩情况表，并附相关证明材料复印件。</w:t>
      </w:r>
      <w:r/>
    </w:p>
    <w:p>
      <w:pPr>
        <w:spacing w:line="240" w:lineRule="atLeast"/>
        <w:rPr>
          <w:rFonts w:ascii="宋体" w:hAnsi="宋体" w:eastAsia="宋体" w:cs="宋体"/>
          <w:b/>
          <w:bCs/>
          <w:color w:val="auto"/>
          <w:highlight w:val="none"/>
        </w:rPr>
      </w:pPr>
      <w:r>
        <w:rPr>
          <w:rFonts w:ascii="宋体" w:hAnsi="宋体" w:eastAsia="宋体" w:cs="宋体"/>
          <w:b/>
          <w:bCs/>
          <w:color w:val="auto"/>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00"/>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ind w:firstLine="400"/>
        <w:spacing w:line="360" w:lineRule="auto"/>
        <w:rPr>
          <w:rFonts w:ascii="宋体" w:hAnsi="宋体" w:eastAsia="宋体" w:cs="宋体"/>
          <w:color w:val="auto"/>
          <w:sz w:val="20"/>
          <w:highlight w:val="none"/>
        </w:rPr>
      </w:pPr>
      <w:r>
        <w:rPr>
          <w:rFonts w:ascii="宋体" w:hAnsi="宋体" w:eastAsia="宋体" w:cs="宋体"/>
          <w:color w:val="auto"/>
          <w:sz w:val="20"/>
          <w:highlight w:val="none"/>
        </w:rPr>
      </w:r>
      <w:r/>
    </w:p>
    <w:p>
      <w:pPr>
        <w:ind w:right="9"/>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供应商名称：（加盖电子公章）</w:t>
      </w:r>
      <w:r/>
    </w:p>
    <w:p>
      <w:pPr>
        <w:ind w:right="9"/>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pacing w:line="240" w:lineRule="atLeast"/>
        <w:rPr>
          <w:rFonts w:ascii="宋体" w:hAnsi="宋体" w:eastAsia="宋体" w:cs="宋体"/>
          <w:b/>
          <w:bCs/>
          <w:color w:val="auto"/>
          <w:highlight w:val="none"/>
        </w:rPr>
      </w:pPr>
      <w:r>
        <w:rPr>
          <w:rFonts w:ascii="宋体" w:hAnsi="宋体" w:eastAsia="宋体" w:cs="宋体"/>
          <w:b/>
          <w:bCs/>
          <w:color w:val="auto"/>
          <w:highlight w:val="none"/>
        </w:rPr>
      </w:r>
      <w:r/>
    </w:p>
    <w:p>
      <w:pPr>
        <w:spacing w:after="120"/>
        <w:rPr>
          <w:rFonts w:ascii="宋体" w:hAnsi="宋体" w:eastAsia="宋体" w:cs="宋体"/>
          <w:b/>
          <w:bCs/>
          <w:color w:val="auto"/>
          <w:sz w:val="24"/>
          <w:highlight w:val="none"/>
        </w:rPr>
      </w:pPr>
      <w:r>
        <w:rPr>
          <w:rFonts w:ascii="宋体" w:hAnsi="宋体" w:eastAsia="宋体" w:cs="宋体"/>
          <w:b/>
          <w:bCs/>
          <w:color w:val="auto"/>
          <w:sz w:val="24"/>
          <w:highlight w:val="none"/>
        </w:rPr>
      </w:r>
      <w:r/>
    </w:p>
    <w:p>
      <w:pPr>
        <w:rPr>
          <w:rFonts w:ascii="宋体" w:hAnsi="宋体" w:eastAsia="宋体" w:cs="宋体"/>
          <w:b/>
          <w:bCs/>
          <w:color w:val="auto"/>
          <w:highlight w:val="none"/>
        </w:rPr>
      </w:pPr>
      <w:r>
        <w:rPr>
          <w:rFonts w:ascii="宋体" w:hAnsi="宋体" w:eastAsia="宋体" w:cs="宋体"/>
          <w:b/>
          <w:bCs/>
          <w:color w:val="auto"/>
          <w:highlight w:val="none"/>
        </w:rPr>
        <w:br w:type="page" w:clear="all"/>
      </w:r>
      <w:r/>
    </w:p>
    <w:p>
      <w:pPr>
        <w:rPr>
          <w:rFonts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附件八、企业声明函格式</w:t>
      </w:r>
      <w:r/>
    </w:p>
    <w:p>
      <w:pPr>
        <w:ind w:left="3260"/>
        <w:spacing w:line="0" w:lineRule="atLeast"/>
        <w:rPr>
          <w:rFonts w:ascii="宋体" w:hAnsi="宋体" w:eastAsia="宋体" w:cs="宋体"/>
          <w:color w:val="auto"/>
          <w:highlight w:val="none"/>
        </w:rPr>
      </w:pPr>
      <w:r>
        <w:rPr>
          <w:rFonts w:hint="eastAsia" w:ascii="宋体" w:hAnsi="宋体" w:eastAsia="宋体" w:cs="宋体"/>
          <w:color w:val="auto"/>
          <w:sz w:val="28"/>
          <w:highlight w:val="none"/>
        </w:rPr>
        <w:t xml:space="preserve">中小企业声明函（货物）</w:t>
      </w:r>
      <w:r/>
    </w:p>
    <w:p>
      <w:pPr>
        <w:ind w:firstLine="480"/>
        <w:spacing w:before="100" w:beforeAutospacing="1" w:after="100" w:afterAutospacing="1"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 </w:t>
      </w:r>
      <w:r>
        <w:rPr>
          <w:rFonts w:hint="eastAsia" w:ascii="宋体" w:hAnsi="宋体" w:eastAsia="宋体" w:cs="宋体"/>
          <w:color w:val="auto"/>
          <w:sz w:val="24"/>
          <w:highlight w:val="none"/>
          <w:u w:val="single"/>
        </w:rPr>
        <w:t xml:space="preserve">         （项目名称）</w:t>
      </w:r>
      <w:r>
        <w:rPr>
          <w:rFonts w:hint="eastAsia" w:ascii="宋体" w:hAnsi="宋体" w:eastAsia="宋体" w:cs="宋体"/>
          <w:color w:val="auto"/>
          <w:sz w:val="24"/>
          <w:highlight w:val="none"/>
        </w:rPr>
        <w:t xml:space="preserve">采购活动，提供的货物全部由符合政策要求的中小企业制造。相关企业（含联合体中的中小企业、签订分包意向协议的中小企业）的具体情况如下：</w:t>
      </w:r>
      <w:r/>
    </w:p>
    <w:p>
      <w:pPr>
        <w:ind w:firstLine="482"/>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 </w:t>
      </w: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 xml:space="preserve">其他未列明 </w:t>
      </w:r>
      <w:r>
        <w:rPr>
          <w:rFonts w:hint="eastAsia" w:ascii="宋体" w:hAnsi="宋体" w:eastAsia="宋体" w:cs="宋体"/>
          <w:color w:val="auto"/>
          <w:sz w:val="24"/>
          <w:highlight w:val="none"/>
        </w:rPr>
        <w:t xml:space="preserve">行业</w:t>
      </w:r>
      <w:r>
        <w:rPr>
          <w:rFonts w:hint="eastAsia" w:ascii="宋体" w:hAnsi="宋体" w:eastAsia="宋体" w:cs="宋体"/>
          <w:color w:val="auto"/>
          <w:sz w:val="24"/>
          <w:highlight w:val="none"/>
        </w:rPr>
        <w:t xml:space="preserve">；制造商为 </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人</w:t>
      </w:r>
      <w:r>
        <w:rPr>
          <w:rFonts w:hint="eastAsia" w:ascii="宋体" w:hAnsi="宋体" w:eastAsia="宋体" w:cs="宋体"/>
          <w:color w:val="auto"/>
          <w:sz w:val="24"/>
          <w:highlight w:val="none"/>
        </w:rPr>
        <w:t xml:space="preserve">，营业收入为</w:t>
      </w:r>
      <w:r>
        <w:rPr>
          <w:rFonts w:hint="eastAsia" w:ascii="宋体" w:hAnsi="宋体" w:eastAsia="宋体" w:cs="宋体"/>
          <w:color w:val="auto"/>
          <w:sz w:val="24"/>
          <w:highlight w:val="none"/>
          <w:u w:val="single"/>
        </w:rPr>
        <w:t xml:space="preserve">    万元</w:t>
      </w:r>
      <w:r>
        <w:rPr>
          <w:rFonts w:hint="eastAsia" w:ascii="宋体" w:hAnsi="宋体" w:eastAsia="宋体" w:cs="宋体"/>
          <w:color w:val="auto"/>
          <w:sz w:val="24"/>
          <w:highlight w:val="none"/>
        </w:rPr>
        <w:t xml:space="preserve">，资产总额为</w:t>
      </w:r>
      <w:r>
        <w:rPr>
          <w:rFonts w:hint="eastAsia" w:ascii="宋体" w:hAnsi="宋体" w:eastAsia="宋体" w:cs="宋体"/>
          <w:color w:val="auto"/>
          <w:sz w:val="24"/>
          <w:highlight w:val="none"/>
          <w:u w:val="single"/>
        </w:rPr>
        <w:t xml:space="preserve">   万元</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（中型企业、小型企业、微型企业）</w:t>
      </w:r>
      <w:r>
        <w:rPr>
          <w:rFonts w:hint="eastAsia" w:ascii="宋体" w:hAnsi="宋体" w:eastAsia="宋体" w:cs="宋体"/>
          <w:color w:val="auto"/>
          <w:sz w:val="24"/>
          <w:highlight w:val="none"/>
        </w:rPr>
        <w:t xml:space="preserve">；</w:t>
      </w:r>
      <w:r/>
    </w:p>
    <w:p>
      <w:pPr>
        <w:ind w:firstLine="480"/>
        <w:spacing w:before="100" w:beforeAutospacing="1" w:after="100" w:afterAutospacing="1"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 </w:t>
      </w:r>
      <w:r>
        <w:rPr>
          <w:rFonts w:hint="eastAsia" w:ascii="宋体" w:hAnsi="宋体" w:eastAsia="宋体" w:cs="宋体"/>
          <w:color w:val="auto"/>
          <w:sz w:val="24"/>
          <w:highlight w:val="none"/>
          <w:u w:val="single"/>
        </w:rPr>
        <w:t xml:space="preserve">         （标的名称）</w:t>
      </w:r>
      <w:r>
        <w:rPr>
          <w:rFonts w:hint="eastAsia" w:ascii="宋体" w:hAnsi="宋体" w:eastAsia="宋体" w:cs="宋体"/>
          <w:color w:val="auto"/>
          <w:sz w:val="24"/>
          <w:highlight w:val="none"/>
        </w:rPr>
        <w:t xml:space="preserve">，属于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行业；制造商为</w:t>
      </w:r>
      <w:r>
        <w:rPr>
          <w:rFonts w:hint="eastAsia" w:ascii="宋体" w:hAnsi="宋体" w:eastAsia="宋体" w:cs="宋体"/>
          <w:color w:val="auto"/>
          <w:sz w:val="24"/>
          <w:highlight w:val="none"/>
          <w:u w:val="single"/>
        </w:rPr>
        <w:t xml:space="preserve">          （企业名称）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人</w:t>
      </w:r>
      <w:r>
        <w:rPr>
          <w:rFonts w:hint="eastAsia" w:ascii="宋体" w:hAnsi="宋体" w:eastAsia="宋体" w:cs="宋体"/>
          <w:color w:val="auto"/>
          <w:sz w:val="24"/>
          <w:highlight w:val="none"/>
        </w:rPr>
        <w:t xml:space="preserve">，营业收入为</w:t>
      </w:r>
      <w:r>
        <w:rPr>
          <w:rFonts w:hint="eastAsia" w:ascii="宋体" w:hAnsi="宋体" w:eastAsia="宋体" w:cs="宋体"/>
          <w:color w:val="auto"/>
          <w:sz w:val="24"/>
          <w:highlight w:val="none"/>
          <w:u w:val="single"/>
        </w:rPr>
        <w:t xml:space="preserve">    万元</w:t>
      </w:r>
      <w:r>
        <w:rPr>
          <w:rFonts w:hint="eastAsia" w:ascii="宋体" w:hAnsi="宋体" w:eastAsia="宋体" w:cs="宋体"/>
          <w:color w:val="auto"/>
          <w:sz w:val="24"/>
          <w:highlight w:val="none"/>
        </w:rPr>
        <w:t xml:space="preserve">，资产总额为</w:t>
      </w:r>
      <w:r>
        <w:rPr>
          <w:rFonts w:hint="eastAsia" w:ascii="宋体" w:hAnsi="宋体" w:eastAsia="宋体" w:cs="宋体"/>
          <w:color w:val="auto"/>
          <w:sz w:val="24"/>
          <w:highlight w:val="none"/>
          <w:u w:val="single"/>
        </w:rPr>
        <w:t xml:space="preserve">   万</w:t>
      </w:r>
      <w:r>
        <w:rPr>
          <w:rFonts w:hint="eastAsia" w:ascii="宋体" w:hAnsi="宋体" w:eastAsia="宋体" w:cs="宋体"/>
          <w:color w:val="auto"/>
          <w:sz w:val="24"/>
          <w:highlight w:val="none"/>
        </w:rPr>
        <w:t xml:space="preserve">元，属于</w:t>
      </w:r>
      <w:r>
        <w:rPr>
          <w:rFonts w:hint="eastAsia" w:ascii="宋体" w:hAnsi="宋体" w:eastAsia="宋体" w:cs="宋体"/>
          <w:color w:val="auto"/>
          <w:sz w:val="24"/>
          <w:highlight w:val="none"/>
          <w:u w:val="single"/>
        </w:rPr>
        <w:t xml:space="preserve">     （中型企业、小型企业、微型企业）</w:t>
      </w:r>
      <w:r>
        <w:rPr>
          <w:rFonts w:hint="eastAsia" w:ascii="宋体" w:hAnsi="宋体" w:eastAsia="宋体" w:cs="宋体"/>
          <w:color w:val="auto"/>
          <w:sz w:val="24"/>
          <w:highlight w:val="none"/>
        </w:rPr>
        <w:t xml:space="preserve">；</w:t>
      </w:r>
      <w:r/>
    </w:p>
    <w:p>
      <w:pPr>
        <w:ind w:firstLine="480"/>
        <w:spacing w:before="100" w:beforeAutospacing="1" w:after="100" w:afterAutospacing="1"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before="100" w:beforeAutospacing="1" w:after="100" w:afterAutospacing="1"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before="100" w:beforeAutospacing="1" w:after="100" w:afterAutospacing="1" w:line="276"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629"/>
        <w:spacing w:line="7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企业名称：（盖章）</w:t>
      </w:r>
      <w:r>
        <w:rPr>
          <w:rFonts w:hint="eastAsia" w:ascii="宋体" w:hAnsi="宋体" w:eastAsia="宋体" w:cs="宋体"/>
          <w:color w:val="auto"/>
          <w:sz w:val="24"/>
          <w:highlight w:val="none"/>
          <w:u w:val="single"/>
        </w:rPr>
        <w:t xml:space="preserve">                 </w:t>
      </w:r>
      <w:r/>
    </w:p>
    <w:p>
      <w:pPr>
        <w:ind w:firstLine="629"/>
        <w:spacing w:line="7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法定代表人（或授权代表）：（签字）</w:t>
      </w:r>
      <w:r>
        <w:rPr>
          <w:rFonts w:hint="eastAsia" w:ascii="宋体" w:hAnsi="宋体" w:eastAsia="宋体" w:cs="宋体"/>
          <w:color w:val="auto"/>
          <w:sz w:val="24"/>
          <w:highlight w:val="none"/>
          <w:u w:val="single"/>
        </w:rPr>
        <w:t xml:space="preserve">              </w:t>
      </w:r>
      <w:r/>
    </w:p>
    <w:p>
      <w:pPr>
        <w:ind w:firstLine="629"/>
        <w:spacing w:line="7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年     月   日</w:t>
      </w:r>
      <w:r/>
    </w:p>
    <w:p>
      <w:pPr>
        <w:spacing w:line="42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2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从业人员、营业收入、资产总额填报上一年度数据，无上一年度数据的新成立企业可不填报。</w:t>
      </w:r>
      <w:r/>
    </w:p>
    <w:p>
      <w:pPr>
        <w:ind w:firstLine="480"/>
        <w:spacing w:line="42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）本项目采购标的对应的中小企业划分标准所属行业为</w:t>
      </w:r>
      <w:r>
        <w:rPr>
          <w:rFonts w:hint="eastAsia" w:ascii="宋体" w:hAnsi="宋体" w:eastAsia="宋体" w:cs="宋体"/>
          <w:color w:val="auto"/>
          <w:sz w:val="24"/>
          <w:highlight w:val="none"/>
          <w:u w:val="single"/>
          <w:lang w:eastAsia="zh-CN"/>
        </w:rPr>
        <w:t xml:space="preserve">其他未列明行业</w:t>
      </w:r>
      <w:r>
        <w:rPr>
          <w:rFonts w:hint="eastAsia" w:ascii="宋体" w:hAnsi="宋体" w:eastAsia="宋体" w:cs="宋体"/>
          <w:color w:val="auto"/>
          <w:sz w:val="24"/>
          <w:highlight w:val="none"/>
          <w:lang w:eastAsia="zh-CN"/>
        </w:rPr>
        <w:t xml:space="preserve">。</w:t>
      </w:r>
      <w:r/>
    </w:p>
    <w:p>
      <w:pPr>
        <w:ind w:firstLine="422"/>
        <w:spacing w:line="360"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 xml:space="preserve">备注：如供应商所投货物的制造商均为中小企业的，须由供应商在响应文件中提供加盖本单位公章的</w:t>
      </w:r>
      <w:r>
        <w:rPr>
          <w:rFonts w:hint="eastAsia" w:ascii="宋体" w:hAnsi="宋体" w:eastAsia="宋体" w:cs="宋体"/>
          <w:b/>
          <w:color w:val="auto"/>
          <w:szCs w:val="21"/>
          <w:highlight w:val="none"/>
        </w:rPr>
        <w:t xml:space="preserve">声明</w:t>
      </w:r>
      <w:r>
        <w:rPr>
          <w:rFonts w:hint="eastAsia" w:ascii="宋体" w:hAnsi="宋体" w:eastAsia="宋体" w:cs="宋体"/>
          <w:b/>
          <w:bCs/>
          <w:color w:val="auto"/>
          <w:szCs w:val="21"/>
          <w:highlight w:val="none"/>
        </w:rPr>
        <w:t xml:space="preserve">函，供应商应从制造商处获得充分、准确的信息，并对其出具的《中小企业声明函》真实性负责。</w:t>
      </w:r>
      <w:r/>
    </w:p>
    <w:p>
      <w:pPr>
        <w:rPr>
          <w:rFonts w:ascii="宋体" w:hAnsi="宋体" w:eastAsia="宋体" w:cs="宋体"/>
          <w:color w:val="auto"/>
          <w:sz w:val="28"/>
          <w:highlight w:val="none"/>
        </w:rPr>
      </w:pPr>
      <w:r>
        <w:rPr>
          <w:rFonts w:hint="eastAsia" w:ascii="宋体" w:hAnsi="宋体" w:eastAsia="宋体" w:cs="宋体"/>
          <w:color w:val="auto"/>
          <w:sz w:val="28"/>
          <w:highlight w:val="none"/>
        </w:rPr>
        <w:br w:type="page" w:clear="all"/>
      </w:r>
      <w:r/>
    </w:p>
    <w:p>
      <w:pPr>
        <w:ind w:left="2700"/>
        <w:spacing w:line="0" w:lineRule="atLeast"/>
        <w:rPr>
          <w:rFonts w:ascii="宋体" w:hAnsi="宋体" w:eastAsia="宋体" w:cs="宋体"/>
          <w:color w:val="auto"/>
          <w:sz w:val="28"/>
          <w:highlight w:val="none"/>
        </w:rPr>
      </w:pPr>
      <w:r>
        <w:rPr>
          <w:rFonts w:hint="eastAsia" w:ascii="宋体" w:hAnsi="宋体" w:eastAsia="宋体" w:cs="宋体"/>
          <w:color w:val="auto"/>
          <w:sz w:val="28"/>
          <w:highlight w:val="none"/>
        </w:rPr>
        <w:t xml:space="preserve">残疾人福利性单位声明函</w:t>
      </w:r>
      <w:r/>
    </w:p>
    <w:p>
      <w:pPr>
        <w:spacing w:line="312" w:lineRule="exact"/>
        <w:rPr>
          <w:rFonts w:ascii="宋体" w:hAnsi="宋体" w:eastAsia="宋体" w:cs="宋体"/>
          <w:color w:val="auto"/>
          <w:highlight w:val="none"/>
        </w:rPr>
      </w:pPr>
      <w:r>
        <w:rPr>
          <w:rFonts w:ascii="宋体" w:hAnsi="宋体" w:eastAsia="宋体" w:cs="宋体"/>
          <w:color w:val="auto"/>
          <w:highlight w:val="none"/>
        </w:rPr>
      </w:r>
      <w:r/>
    </w:p>
    <w:p>
      <w:pPr>
        <w:ind w:left="420"/>
        <w:spacing w:line="240" w:lineRule="exact"/>
        <w:rPr>
          <w:rFonts w:ascii="宋体" w:hAnsi="宋体" w:eastAsia="宋体" w:cs="宋体"/>
          <w:color w:val="auto"/>
          <w:highlight w:val="none"/>
        </w:rPr>
      </w:pPr>
      <w:r>
        <w:rPr>
          <w:rFonts w:hint="eastAsia" w:ascii="宋体" w:hAnsi="宋体" w:eastAsia="宋体" w:cs="宋体"/>
          <w:color w:val="auto"/>
          <w:highlight w:val="none"/>
        </w:rPr>
        <w:t xml:space="preserve">本单位郑重声明，根据《财政部民政部中国残疾人联合会关于促进残疾人就业政府采购</w:t>
      </w:r>
      <w:r/>
    </w:p>
    <w:p>
      <w:pPr>
        <w:spacing w:line="183" w:lineRule="exact"/>
        <w:rPr>
          <w:rFonts w:ascii="宋体" w:hAnsi="宋体" w:eastAsia="宋体" w:cs="宋体"/>
          <w:color w:val="auto"/>
          <w:highlight w:val="none"/>
        </w:rPr>
      </w:pPr>
      <w:r>
        <w:rPr>
          <w:rFonts w:ascii="宋体" w:hAnsi="宋体" w:eastAsia="宋体" w:cs="宋体"/>
          <w:color w:val="auto"/>
          <w:highlight w:val="none"/>
        </w:rPr>
      </w:r>
      <w:r/>
    </w:p>
    <w:p>
      <w:pPr>
        <w:spacing w:line="253" w:lineRule="exact"/>
        <w:rPr>
          <w:rFonts w:ascii="宋体" w:hAnsi="宋体" w:eastAsia="宋体" w:cs="宋体"/>
          <w:color w:val="auto"/>
          <w:highlight w:val="none"/>
        </w:rPr>
      </w:pPr>
      <w:r>
        <w:rPr>
          <w:rFonts w:hint="eastAsia" w:ascii="宋体" w:hAnsi="宋体" w:eastAsia="宋体" w:cs="宋体"/>
          <w:color w:val="auto"/>
          <w:highlight w:val="none"/>
        </w:rPr>
        <w:t xml:space="preserve">政策的通知》（财库〔2017〕141号）的规定，本单位为符合条件的残疾人福利性单位，且</w:t>
      </w:r>
      <w:r/>
    </w:p>
    <w:p>
      <w:pPr>
        <w:spacing w:line="188" w:lineRule="exact"/>
        <w:rPr>
          <w:rFonts w:ascii="宋体" w:hAnsi="宋体" w:eastAsia="宋体" w:cs="宋体"/>
          <w:color w:val="auto"/>
          <w:highlight w:val="none"/>
        </w:rPr>
      </w:pPr>
      <w:r>
        <w:rPr>
          <w:rFonts w:ascii="宋体" w:hAnsi="宋体" w:eastAsia="宋体" w:cs="宋体"/>
          <w:color w:val="auto"/>
          <w:highlight w:val="none"/>
        </w:rPr>
      </w:r>
      <w:r/>
    </w:p>
    <w:p>
      <w:pPr>
        <w:spacing w:line="253" w:lineRule="exact"/>
        <w:rPr>
          <w:rFonts w:ascii="宋体" w:hAnsi="宋体" w:eastAsia="宋体" w:cs="宋体"/>
          <w:color w:val="auto"/>
          <w:highlight w:val="none"/>
        </w:rPr>
      </w:pPr>
      <w:r>
        <w:rPr>
          <w:rFonts w:hint="eastAsia" w:ascii="宋体" w:hAnsi="宋体" w:eastAsia="宋体" w:cs="宋体"/>
          <w:color w:val="auto"/>
          <w:highlight w:val="none"/>
        </w:rPr>
        <w:t xml:space="preserve">本单位参加______单位的______项目采购活动提供本单位制造的货物（由本单位承担工程/提</w:t>
      </w:r>
      <w:r/>
    </w:p>
    <w:p>
      <w:pPr>
        <w:spacing w:line="203" w:lineRule="exact"/>
        <w:rPr>
          <w:rFonts w:ascii="宋体" w:hAnsi="宋体" w:eastAsia="宋体" w:cs="宋体"/>
          <w:color w:val="auto"/>
          <w:highlight w:val="none"/>
        </w:rPr>
      </w:pPr>
      <w:r>
        <w:rPr>
          <w:rFonts w:ascii="宋体" w:hAnsi="宋体" w:eastAsia="宋体" w:cs="宋体"/>
          <w:color w:val="auto"/>
          <w:highlight w:val="none"/>
        </w:rPr>
      </w:r>
      <w:r/>
    </w:p>
    <w:p>
      <w:pPr>
        <w:spacing w:line="240" w:lineRule="exact"/>
        <w:rPr>
          <w:rFonts w:ascii="宋体" w:hAnsi="宋体" w:eastAsia="宋体" w:cs="宋体"/>
          <w:color w:val="auto"/>
          <w:highlight w:val="none"/>
        </w:rPr>
      </w:pPr>
      <w:r>
        <w:rPr>
          <w:rFonts w:hint="eastAsia" w:ascii="宋体" w:hAnsi="宋体" w:eastAsia="宋体" w:cs="宋体"/>
          <w:color w:val="auto"/>
          <w:highlight w:val="none"/>
        </w:rPr>
        <w:t xml:space="preserve">供服务），或者提供其他残疾人福利性单位制造的货物（不包括使用非残疾人福利性单位注册</w:t>
      </w:r>
      <w:r/>
    </w:p>
    <w:p>
      <w:pPr>
        <w:spacing w:line="197" w:lineRule="exact"/>
        <w:rPr>
          <w:rFonts w:ascii="宋体" w:hAnsi="宋体" w:eastAsia="宋体" w:cs="宋体"/>
          <w:color w:val="auto"/>
          <w:highlight w:val="none"/>
        </w:rPr>
      </w:pPr>
      <w:r>
        <w:rPr>
          <w:rFonts w:ascii="宋体" w:hAnsi="宋体" w:eastAsia="宋体" w:cs="宋体"/>
          <w:color w:val="auto"/>
          <w:highlight w:val="none"/>
        </w:rPr>
      </w:r>
      <w:r/>
    </w:p>
    <w:p>
      <w:pPr>
        <w:spacing w:line="240" w:lineRule="exact"/>
        <w:rPr>
          <w:rFonts w:ascii="宋体" w:hAnsi="宋体" w:eastAsia="宋体" w:cs="宋体"/>
          <w:color w:val="auto"/>
          <w:highlight w:val="none"/>
        </w:rPr>
      </w:pPr>
      <w:r>
        <w:rPr>
          <w:rFonts w:hint="eastAsia" w:ascii="宋体" w:hAnsi="宋体" w:eastAsia="宋体" w:cs="宋体"/>
          <w:color w:val="auto"/>
          <w:highlight w:val="none"/>
        </w:rPr>
        <w:t xml:space="preserve">商标的货物）。</w:t>
      </w:r>
      <w:r/>
    </w:p>
    <w:p>
      <w:pPr>
        <w:spacing w:line="203" w:lineRule="exact"/>
        <w:rPr>
          <w:rFonts w:ascii="宋体" w:hAnsi="宋体" w:eastAsia="宋体" w:cs="宋体"/>
          <w:color w:val="auto"/>
          <w:highlight w:val="none"/>
        </w:rPr>
      </w:pPr>
      <w:r>
        <w:rPr>
          <w:rFonts w:ascii="宋体" w:hAnsi="宋体" w:eastAsia="宋体" w:cs="宋体"/>
          <w:color w:val="auto"/>
          <w:highlight w:val="none"/>
        </w:rPr>
      </w:r>
      <w:r/>
    </w:p>
    <w:p>
      <w:pPr>
        <w:ind w:left="420"/>
        <w:spacing w:line="240" w:lineRule="exact"/>
        <w:rPr>
          <w:rFonts w:ascii="宋体" w:hAnsi="宋体" w:eastAsia="宋体" w:cs="宋体"/>
          <w:color w:val="auto"/>
          <w:highlight w:val="none"/>
        </w:rPr>
      </w:pPr>
      <w:r>
        <w:rPr>
          <w:rFonts w:hint="eastAsia" w:ascii="宋体" w:hAnsi="宋体" w:eastAsia="宋体" w:cs="宋体"/>
          <w:color w:val="auto"/>
          <w:highlight w:val="none"/>
        </w:rPr>
        <w:t xml:space="preserve">本单位对上述声明的真实性负责。如有虚假，将依法承担相应责任。</w:t>
      </w:r>
      <w:r/>
    </w:p>
    <w:p>
      <w:pPr>
        <w:spacing w:line="202" w:lineRule="exact"/>
        <w:rPr>
          <w:rFonts w:ascii="宋体" w:hAnsi="宋体" w:eastAsia="宋体" w:cs="宋体"/>
          <w:color w:val="auto"/>
          <w:highlight w:val="none"/>
        </w:rPr>
      </w:pPr>
      <w:r>
        <w:rPr>
          <w:rFonts w:ascii="宋体" w:hAnsi="宋体" w:eastAsia="宋体" w:cs="宋体"/>
          <w:color w:val="auto"/>
          <w:highlight w:val="none"/>
        </w:rPr>
      </w:r>
      <w:r/>
    </w:p>
    <w:p>
      <w:pPr>
        <w:ind w:left="5040"/>
        <w:spacing w:line="240" w:lineRule="exact"/>
        <w:rPr>
          <w:rFonts w:ascii="宋体" w:hAnsi="宋体" w:eastAsia="宋体" w:cs="宋体"/>
          <w:color w:val="auto"/>
          <w:highlight w:val="none"/>
        </w:rPr>
      </w:pPr>
      <w:r>
        <w:rPr>
          <w:rFonts w:hint="eastAsia" w:ascii="宋体" w:hAnsi="宋体" w:eastAsia="宋体" w:cs="宋体"/>
          <w:color w:val="auto"/>
          <w:highlight w:val="none"/>
        </w:rPr>
        <w:t xml:space="preserve">单位名称（加盖电子公章）：</w:t>
      </w:r>
      <w:r/>
    </w:p>
    <w:p>
      <w:pPr>
        <w:spacing w:line="139" w:lineRule="exact"/>
        <w:rPr>
          <w:rFonts w:ascii="宋体" w:hAnsi="宋体" w:eastAsia="宋体" w:cs="宋体"/>
          <w:color w:val="auto"/>
          <w:highlight w:val="none"/>
        </w:rPr>
      </w:pPr>
      <w:r/>
      <w:bookmarkStart w:id="11" w:name="page43"/>
      <w:r/>
      <w:bookmarkEnd w:id="11"/>
      <w:r/>
      <w:r/>
    </w:p>
    <w:p>
      <w:pPr>
        <w:ind w:left="5040"/>
        <w:spacing w:line="239" w:lineRule="exact"/>
        <w:tabs>
          <w:tab w:val="left" w:pos="5440" w:leader="none"/>
        </w:tabs>
        <w:rPr>
          <w:rFonts w:ascii="宋体" w:hAnsi="宋体" w:eastAsia="宋体" w:cs="宋体"/>
          <w:color w:val="auto"/>
          <w:highlight w:val="none"/>
        </w:rPr>
      </w:pPr>
      <w:r>
        <w:rPr>
          <w:rFonts w:hint="eastAsia" w:ascii="宋体" w:hAnsi="宋体" w:eastAsia="宋体" w:cs="宋体"/>
          <w:color w:val="auto"/>
          <w:highlight w:val="none"/>
        </w:rPr>
        <w:t xml:space="preserve">日</w:t>
      </w:r>
      <w:r>
        <w:rPr>
          <w:rFonts w:hint="eastAsia" w:ascii="宋体" w:hAnsi="宋体" w:eastAsia="宋体" w:cs="宋体"/>
          <w:color w:val="auto"/>
          <w:highlight w:val="none"/>
        </w:rPr>
        <w:tab/>
      </w:r>
      <w:r>
        <w:rPr>
          <w:rFonts w:hint="eastAsia" w:ascii="宋体" w:hAnsi="宋体" w:eastAsia="宋体" w:cs="宋体"/>
          <w:color w:val="auto"/>
          <w:highlight w:val="none"/>
        </w:rPr>
        <w:t xml:space="preserve">期：</w:t>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398" w:lineRule="exact"/>
        <w:rPr>
          <w:rFonts w:ascii="宋体" w:hAnsi="宋体" w:eastAsia="宋体" w:cs="宋体"/>
          <w:color w:val="auto"/>
          <w:highlight w:val="none"/>
        </w:rPr>
      </w:pPr>
      <w:r>
        <w:rPr>
          <w:rFonts w:ascii="宋体" w:hAnsi="宋体" w:eastAsia="宋体" w:cs="宋体"/>
          <w:color w:val="auto"/>
          <w:highlight w:val="none"/>
        </w:rPr>
      </w:r>
      <w:r/>
    </w:p>
    <w:p>
      <w:pPr>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spacing w:after="120"/>
        <w:rPr>
          <w:rFonts w:ascii="宋体" w:hAnsi="宋体" w:eastAsia="宋体" w:cs="宋体"/>
          <w:color w:val="auto"/>
          <w:sz w:val="24"/>
          <w:highlight w:val="none"/>
        </w:rPr>
      </w:pPr>
      <w:r>
        <w:rPr>
          <w:rFonts w:ascii="宋体" w:hAnsi="宋体" w:eastAsia="宋体" w:cs="宋体"/>
          <w:color w:val="auto"/>
          <w:sz w:val="24"/>
          <w:highlight w:val="none"/>
        </w:rPr>
      </w:r>
      <w:r/>
    </w:p>
    <w:p>
      <w:pPr>
        <w:ind w:left="2700"/>
        <w:spacing w:line="0" w:lineRule="atLeast"/>
        <w:rPr>
          <w:rFonts w:ascii="宋体" w:hAnsi="宋体" w:eastAsia="宋体" w:cs="宋体"/>
          <w:color w:val="auto"/>
          <w:sz w:val="28"/>
          <w:highlight w:val="none"/>
        </w:rPr>
      </w:pPr>
      <w:r>
        <w:rPr>
          <w:rFonts w:hint="eastAsia" w:ascii="宋体" w:hAnsi="宋体" w:eastAsia="宋体" w:cs="宋体"/>
          <w:color w:val="auto"/>
          <w:sz w:val="28"/>
          <w:highlight w:val="none"/>
        </w:rPr>
        <w:t xml:space="preserve">属于监狱企业的证明文件</w:t>
      </w:r>
      <w:r/>
    </w:p>
    <w:p>
      <w:pPr>
        <w:spacing w:line="259" w:lineRule="exact"/>
        <w:rPr>
          <w:rFonts w:ascii="宋体" w:hAnsi="宋体" w:eastAsia="宋体" w:cs="宋体"/>
          <w:color w:val="auto"/>
          <w:highlight w:val="none"/>
        </w:rPr>
      </w:pPr>
      <w:r>
        <w:rPr>
          <w:rFonts w:ascii="宋体" w:hAnsi="宋体" w:eastAsia="宋体" w:cs="宋体"/>
          <w:color w:val="auto"/>
          <w:highlight w:val="none"/>
        </w:rPr>
      </w:r>
      <w:r/>
    </w:p>
    <w:p>
      <w:pPr>
        <w:spacing w:line="255" w:lineRule="exact"/>
        <w:rPr>
          <w:rFonts w:ascii="宋体" w:hAnsi="宋体" w:eastAsia="宋体" w:cs="宋体"/>
          <w:color w:val="auto"/>
          <w:highlight w:val="none"/>
        </w:rPr>
      </w:pPr>
      <w:r>
        <w:rPr>
          <w:rFonts w:hint="eastAsia" w:ascii="宋体" w:hAnsi="宋体" w:eastAsia="宋体" w:cs="宋体"/>
          <w:color w:val="auto"/>
          <w:highlight w:val="none"/>
        </w:rPr>
        <w:t xml:space="preserve">（提供由省级以上监狱管理局、戒毒管理局(含新疆生产建设兵团)出具的属于监狱企业的证明</w:t>
      </w:r>
      <w:r/>
    </w:p>
    <w:p>
      <w:pPr>
        <w:spacing w:line="231" w:lineRule="exact"/>
        <w:rPr>
          <w:rFonts w:ascii="宋体" w:hAnsi="宋体" w:eastAsia="宋体" w:cs="宋体"/>
          <w:color w:val="auto"/>
          <w:highlight w:val="none"/>
        </w:rPr>
      </w:pPr>
      <w:r>
        <w:rPr>
          <w:rFonts w:ascii="宋体" w:hAnsi="宋体" w:eastAsia="宋体" w:cs="宋体"/>
          <w:color w:val="auto"/>
          <w:highlight w:val="none"/>
        </w:rPr>
      </w:r>
      <w:r/>
    </w:p>
    <w:p>
      <w:pPr>
        <w:spacing w:line="239" w:lineRule="exact"/>
        <w:rPr>
          <w:rFonts w:ascii="宋体" w:hAnsi="宋体" w:eastAsia="宋体" w:cs="宋体"/>
          <w:color w:val="auto"/>
          <w:highlight w:val="none"/>
        </w:rPr>
      </w:pPr>
      <w:r>
        <w:rPr>
          <w:rFonts w:hint="eastAsia" w:ascii="宋体" w:hAnsi="宋体" w:eastAsia="宋体" w:cs="宋体"/>
          <w:color w:val="auto"/>
          <w:highlight w:val="none"/>
        </w:rPr>
        <w:t xml:space="preserve">文件）</w:t>
      </w:r>
      <w:r/>
    </w:p>
    <w:p>
      <w:pPr>
        <w:ind w:left="3140"/>
        <w:spacing w:line="0" w:lineRule="atLeast"/>
        <w:rPr>
          <w:rFonts w:ascii="宋体" w:hAnsi="宋体" w:eastAsia="宋体" w:cs="宋体"/>
          <w:color w:val="auto"/>
          <w:sz w:val="28"/>
          <w:highlight w:val="none"/>
        </w:rPr>
      </w:pPr>
      <w:r>
        <w:rPr>
          <w:rFonts w:ascii="宋体" w:hAnsi="宋体" w:eastAsia="宋体" w:cs="宋体"/>
          <w:color w:val="auto"/>
          <w:sz w:val="28"/>
          <w:highlight w:val="none"/>
        </w:rPr>
      </w:r>
      <w:r/>
    </w:p>
    <w:p>
      <w:pPr>
        <w:ind w:left="3140"/>
        <w:spacing w:line="0" w:lineRule="atLeast"/>
        <w:rPr>
          <w:rFonts w:ascii="宋体" w:hAnsi="宋体" w:eastAsia="宋体" w:cs="宋体"/>
          <w:color w:val="auto"/>
          <w:sz w:val="28"/>
          <w:highlight w:val="none"/>
        </w:rPr>
      </w:pPr>
      <w:r>
        <w:rPr>
          <w:rFonts w:ascii="宋体" w:hAnsi="宋体" w:eastAsia="宋体" w:cs="宋体"/>
          <w:color w:val="auto"/>
          <w:sz w:val="28"/>
          <w:highlight w:val="none"/>
        </w:rPr>
      </w:r>
      <w:r/>
    </w:p>
    <w:p>
      <w:pPr>
        <w:ind w:left="3140"/>
        <w:spacing w:line="0" w:lineRule="atLeast"/>
        <w:rPr>
          <w:rFonts w:ascii="宋体" w:hAnsi="宋体" w:eastAsia="宋体" w:cs="宋体"/>
          <w:color w:val="auto"/>
          <w:sz w:val="28"/>
          <w:highlight w:val="none"/>
        </w:rPr>
      </w:pPr>
      <w:r>
        <w:rPr>
          <w:rFonts w:ascii="宋体" w:hAnsi="宋体" w:eastAsia="宋体" w:cs="宋体"/>
          <w:color w:val="auto"/>
          <w:sz w:val="28"/>
          <w:highlight w:val="none"/>
        </w:rPr>
      </w:r>
      <w:r/>
    </w:p>
    <w:p>
      <w:pPr>
        <w:ind w:left="3140"/>
        <w:spacing w:line="0" w:lineRule="atLeast"/>
        <w:rPr>
          <w:rFonts w:ascii="宋体" w:hAnsi="宋体" w:eastAsia="宋体" w:cs="宋体"/>
          <w:color w:val="auto"/>
          <w:sz w:val="28"/>
          <w:highlight w:val="none"/>
        </w:rPr>
      </w:pPr>
      <w:r>
        <w:rPr>
          <w:rFonts w:ascii="宋体" w:hAnsi="宋体" w:eastAsia="宋体" w:cs="宋体"/>
          <w:color w:val="auto"/>
          <w:sz w:val="28"/>
          <w:highlight w:val="none"/>
        </w:rPr>
      </w:r>
      <w:r/>
    </w:p>
    <w:p>
      <w:pPr>
        <w:ind w:left="3140"/>
        <w:spacing w:line="0" w:lineRule="atLeast"/>
        <w:rPr>
          <w:rFonts w:ascii="宋体" w:hAnsi="宋体" w:eastAsia="宋体" w:cs="宋体"/>
          <w:color w:val="auto"/>
          <w:sz w:val="28"/>
          <w:highlight w:val="none"/>
        </w:rPr>
      </w:pPr>
      <w:r>
        <w:rPr>
          <w:rFonts w:hint="eastAsia" w:ascii="宋体" w:hAnsi="宋体" w:eastAsia="宋体" w:cs="宋体"/>
          <w:color w:val="auto"/>
          <w:sz w:val="28"/>
          <w:highlight w:val="none"/>
        </w:rPr>
        <w:t xml:space="preserve">节能产品认证证书</w:t>
      </w:r>
      <w:r/>
    </w:p>
    <w:p>
      <w:pPr>
        <w:spacing w:line="274" w:lineRule="exact"/>
        <w:rPr>
          <w:rFonts w:ascii="宋体" w:hAnsi="宋体" w:eastAsia="宋体" w:cs="宋体"/>
          <w:color w:val="auto"/>
          <w:highlight w:val="none"/>
        </w:rPr>
      </w:pPr>
      <w:r>
        <w:rPr>
          <w:rFonts w:ascii="宋体" w:hAnsi="宋体" w:eastAsia="宋体" w:cs="宋体"/>
          <w:color w:val="auto"/>
          <w:highlight w:val="none"/>
        </w:rPr>
      </w:r>
      <w:r/>
    </w:p>
    <w:p>
      <w:pPr>
        <w:spacing w:line="239" w:lineRule="exact"/>
        <w:rPr>
          <w:rFonts w:ascii="宋体" w:hAnsi="宋体" w:eastAsia="宋体" w:cs="宋体"/>
          <w:color w:val="auto"/>
          <w:highlight w:val="none"/>
        </w:rPr>
      </w:pPr>
      <w:r>
        <w:rPr>
          <w:rFonts w:hint="eastAsia" w:ascii="宋体" w:hAnsi="宋体" w:eastAsia="宋体" w:cs="宋体"/>
          <w:color w:val="auto"/>
          <w:highlight w:val="none"/>
        </w:rPr>
        <w:t xml:space="preserve">（提供国家确定的认证机构出具的、处于有效期之内的产品认证证书）</w:t>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200" w:lineRule="exact"/>
        <w:rPr>
          <w:rFonts w:ascii="宋体" w:hAnsi="宋体" w:eastAsia="宋体" w:cs="宋体"/>
          <w:color w:val="auto"/>
          <w:highlight w:val="none"/>
        </w:rPr>
      </w:pPr>
      <w:r>
        <w:rPr>
          <w:rFonts w:ascii="宋体" w:hAnsi="宋体" w:eastAsia="宋体" w:cs="宋体"/>
          <w:color w:val="auto"/>
          <w:highlight w:val="none"/>
        </w:rPr>
      </w:r>
      <w:r/>
    </w:p>
    <w:p>
      <w:pPr>
        <w:spacing w:line="335" w:lineRule="exact"/>
        <w:rPr>
          <w:rFonts w:ascii="宋体" w:hAnsi="宋体" w:eastAsia="宋体" w:cs="宋体"/>
          <w:color w:val="auto"/>
          <w:highlight w:val="none"/>
        </w:rPr>
      </w:pPr>
      <w:r>
        <w:rPr>
          <w:rFonts w:ascii="宋体" w:hAnsi="宋体" w:eastAsia="宋体" w:cs="宋体"/>
          <w:color w:val="auto"/>
          <w:highlight w:val="none"/>
        </w:rPr>
      </w:r>
      <w:r/>
    </w:p>
    <w:p>
      <w:pPr>
        <w:ind w:left="2840"/>
        <w:spacing w:line="0" w:lineRule="atLeast"/>
        <w:rPr>
          <w:rFonts w:ascii="宋体" w:hAnsi="宋体" w:eastAsia="宋体" w:cs="宋体"/>
          <w:color w:val="auto"/>
          <w:sz w:val="28"/>
          <w:highlight w:val="none"/>
        </w:rPr>
      </w:pPr>
      <w:r>
        <w:rPr>
          <w:rFonts w:ascii="宋体" w:hAnsi="宋体" w:eastAsia="宋体" w:cs="宋体"/>
          <w:color w:val="auto"/>
          <w:sz w:val="28"/>
          <w:highlight w:val="none"/>
        </w:rPr>
      </w:r>
      <w:r/>
    </w:p>
    <w:p>
      <w:pPr>
        <w:ind w:left="2840"/>
        <w:spacing w:line="0" w:lineRule="atLeast"/>
        <w:rPr>
          <w:rFonts w:ascii="宋体" w:hAnsi="宋体" w:eastAsia="宋体" w:cs="宋体"/>
          <w:color w:val="auto"/>
          <w:sz w:val="28"/>
          <w:highlight w:val="none"/>
        </w:rPr>
      </w:pPr>
      <w:r>
        <w:rPr>
          <w:rFonts w:hint="eastAsia" w:ascii="宋体" w:hAnsi="宋体" w:eastAsia="宋体" w:cs="宋体"/>
          <w:color w:val="auto"/>
          <w:sz w:val="28"/>
          <w:highlight w:val="none"/>
        </w:rPr>
        <w:t xml:space="preserve">环境标志产品认证证书</w:t>
      </w:r>
      <w:r/>
    </w:p>
    <w:p>
      <w:pPr>
        <w:spacing w:line="274" w:lineRule="exact"/>
        <w:rPr>
          <w:rFonts w:ascii="宋体" w:hAnsi="宋体" w:eastAsia="宋体" w:cs="宋体"/>
          <w:color w:val="auto"/>
          <w:highlight w:val="none"/>
        </w:rPr>
      </w:pPr>
      <w:r>
        <w:rPr>
          <w:rFonts w:ascii="宋体" w:hAnsi="宋体" w:eastAsia="宋体" w:cs="宋体"/>
          <w:color w:val="auto"/>
          <w:highlight w:val="none"/>
        </w:rPr>
      </w:r>
      <w:r/>
    </w:p>
    <w:p>
      <w:pPr>
        <w:spacing w:line="239" w:lineRule="exact"/>
        <w:rPr>
          <w:rFonts w:ascii="宋体" w:hAnsi="宋体" w:eastAsia="宋体" w:cs="宋体"/>
          <w:color w:val="auto"/>
          <w:highlight w:val="none"/>
        </w:rPr>
      </w:pPr>
      <w:r>
        <w:rPr>
          <w:rFonts w:hint="eastAsia" w:ascii="宋体" w:hAnsi="宋体" w:eastAsia="宋体" w:cs="宋体"/>
          <w:color w:val="auto"/>
          <w:highlight w:val="none"/>
        </w:rPr>
        <w:t xml:space="preserve">（提供国家确定的认证机构出具的、处于有效期之内的产品认证证书）</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附件</w:t>
      </w:r>
      <w:r>
        <w:rPr>
          <w:rFonts w:hint="eastAsia" w:ascii="宋体" w:hAnsi="宋体" w:eastAsia="宋体" w:cs="宋体"/>
          <w:b/>
          <w:color w:val="auto"/>
          <w:sz w:val="31"/>
          <w:szCs w:val="31"/>
          <w:highlight w:val="none"/>
          <w:lang w:val="en-US" w:eastAsia="zh-CN"/>
        </w:rPr>
        <w:t xml:space="preserve">九</w:t>
      </w:r>
      <w:r>
        <w:rPr>
          <w:rFonts w:hint="eastAsia" w:ascii="宋体" w:hAnsi="宋体" w:eastAsia="宋体" w:cs="宋体"/>
          <w:b/>
          <w:color w:val="auto"/>
          <w:sz w:val="31"/>
          <w:szCs w:val="31"/>
          <w:highlight w:val="none"/>
        </w:rPr>
        <w:t xml:space="preserve">、声明函</w:t>
      </w:r>
      <w:r/>
    </w:p>
    <w:p>
      <w:pPr>
        <w:jc w:val="center"/>
        <w:spacing w:line="239" w:lineRule="auto"/>
        <w:rPr>
          <w:rFonts w:ascii="宋体" w:hAnsi="宋体" w:eastAsia="宋体" w:cs="宋体"/>
          <w:b/>
          <w:color w:val="auto"/>
          <w:sz w:val="24"/>
          <w:highlight w:val="none"/>
        </w:rPr>
      </w:pPr>
      <w:r>
        <w:rPr>
          <w:rFonts w:hint="eastAsia" w:ascii="宋体" w:hAnsi="宋体" w:eastAsia="宋体" w:cs="宋体"/>
          <w:b/>
          <w:color w:val="auto"/>
          <w:sz w:val="36"/>
          <w:szCs w:val="36"/>
          <w:highlight w:val="none"/>
        </w:rPr>
        <w:t xml:space="preserve">（一）无重大违法记录声明</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pacing w:val="-8"/>
          <w:sz w:val="24"/>
          <w:szCs w:val="20"/>
          <w:highlight w:val="none"/>
        </w:rPr>
      </w:pPr>
      <w:r>
        <w:rPr>
          <w:rFonts w:hint="eastAsia" w:ascii="宋体" w:hAnsi="宋体" w:eastAsia="宋体" w:cs="宋体"/>
          <w:color w:val="auto"/>
          <w:sz w:val="24"/>
          <w:szCs w:val="20"/>
          <w:highlight w:val="none"/>
          <w:lang w:eastAsia="zh-CN"/>
        </w:rPr>
        <w:t xml:space="preserve">南京市栖霞区农业农村局</w:t>
      </w:r>
      <w:r>
        <w:rPr>
          <w:rFonts w:hint="eastAsia" w:ascii="宋体" w:hAnsi="宋体" w:eastAsia="宋体" w:cs="宋体"/>
          <w:color w:val="auto"/>
          <w:sz w:val="24"/>
          <w:szCs w:val="20"/>
          <w:highlight w:val="none"/>
        </w:rPr>
        <w:t xml:space="preserve">：</w:t>
      </w:r>
      <w:r/>
    </w:p>
    <w:p>
      <w:pPr>
        <w:ind w:firstLine="672"/>
        <w:jc w:val="left"/>
        <w:spacing w:line="360" w:lineRule="auto"/>
        <w:widowControl/>
        <w:rPr>
          <w:rFonts w:ascii="宋体" w:hAnsi="宋体" w:eastAsia="宋体" w:cs="宋体"/>
          <w:color w:val="auto"/>
          <w:spacing w:val="-8"/>
          <w:sz w:val="24"/>
          <w:szCs w:val="20"/>
          <w:highlight w:val="none"/>
        </w:rPr>
      </w:pPr>
      <w:r>
        <w:rPr>
          <w:rFonts w:hint="eastAsia" w:ascii="宋体" w:hAnsi="宋体" w:eastAsia="宋体" w:cs="宋体"/>
          <w:color w:val="auto"/>
          <w:spacing w:val="-8"/>
          <w:sz w:val="24"/>
          <w:szCs w:val="20"/>
          <w:highlight w:val="none"/>
        </w:rPr>
        <w:t xml:space="preserve">我单位 </w:t>
      </w:r>
      <w:r>
        <w:rPr>
          <w:rFonts w:hint="eastAsia" w:ascii="宋体" w:hAnsi="宋体" w:eastAsia="宋体" w:cs="宋体"/>
          <w:color w:val="auto"/>
          <w:spacing w:val="-8"/>
          <w:sz w:val="24"/>
          <w:szCs w:val="20"/>
          <w:highlight w:val="none"/>
          <w:u w:val="single"/>
        </w:rPr>
        <w:t xml:space="preserve">            </w:t>
      </w:r>
      <w:r>
        <w:rPr>
          <w:rFonts w:hint="eastAsia" w:ascii="宋体" w:hAnsi="宋体" w:eastAsia="宋体" w:cs="宋体"/>
          <w:color w:val="auto"/>
          <w:spacing w:val="-8"/>
          <w:sz w:val="24"/>
          <w:szCs w:val="20"/>
          <w:highlight w:val="none"/>
        </w:rPr>
        <w:t xml:space="preserve">（供应商名称）郑重声明：</w:t>
      </w:r>
      <w:r/>
    </w:p>
    <w:p>
      <w:pPr>
        <w:ind w:firstLine="690"/>
        <w:jc w:val="left"/>
        <w:spacing w:line="360" w:lineRule="auto"/>
        <w:widowControl/>
        <w:rPr>
          <w:rFonts w:ascii="宋体" w:hAnsi="宋体" w:eastAsia="宋体" w:cs="宋体"/>
          <w:b/>
          <w:color w:val="auto"/>
          <w:sz w:val="24"/>
          <w:szCs w:val="20"/>
          <w:highlight w:val="none"/>
        </w:rPr>
      </w:pPr>
      <w:r>
        <w:rPr>
          <w:rFonts w:hint="eastAsia" w:ascii="宋体" w:hAnsi="宋体" w:eastAsia="宋体" w:cs="宋体"/>
          <w:color w:val="auto"/>
          <w:spacing w:val="-5"/>
          <w:sz w:val="24"/>
          <w:szCs w:val="20"/>
          <w:highlight w:val="none"/>
        </w:rPr>
        <w:t xml:space="preserve">我单位参加政府采购活动前3</w:t>
      </w:r>
      <w:r>
        <w:rPr>
          <w:rFonts w:hint="eastAsia" w:ascii="宋体" w:hAnsi="宋体" w:eastAsia="宋体" w:cs="宋体"/>
          <w:color w:val="auto"/>
          <w:spacing w:val="-8"/>
          <w:sz w:val="24"/>
          <w:szCs w:val="20"/>
          <w:highlight w:val="none"/>
        </w:rPr>
        <w:t xml:space="preserve"> 年内在经营活动中</w:t>
      </w:r>
      <w:r>
        <w:rPr>
          <w:rFonts w:hint="eastAsia" w:ascii="宋体" w:hAnsi="宋体" w:eastAsia="宋体" w:cs="宋体"/>
          <w:color w:val="auto"/>
          <w:spacing w:val="-8"/>
          <w:sz w:val="24"/>
          <w:szCs w:val="20"/>
          <w:highlight w:val="none"/>
          <w:u w:val="single"/>
        </w:rPr>
        <w:t xml:space="preserve">      </w:t>
      </w:r>
      <w:r>
        <w:rPr>
          <w:rFonts w:hint="eastAsia" w:ascii="宋体" w:hAnsi="宋体" w:eastAsia="宋体" w:cs="宋体"/>
          <w:color w:val="auto"/>
          <w:sz w:val="24"/>
          <w:szCs w:val="20"/>
          <w:highlight w:val="none"/>
          <w:u w:val="single"/>
        </w:rPr>
        <w:t xml:space="preserve">（</w:t>
      </w:r>
      <w:r>
        <w:rPr>
          <w:rFonts w:hint="eastAsia" w:ascii="宋体" w:hAnsi="宋体" w:eastAsia="宋体" w:cs="宋体"/>
          <w:b/>
          <w:color w:val="auto"/>
          <w:sz w:val="24"/>
          <w:szCs w:val="20"/>
          <w:highlight w:val="none"/>
          <w:u w:val="single"/>
        </w:rPr>
        <w:t xml:space="preserve">在下划线上如实填写：有或没有</w:t>
      </w:r>
      <w:r>
        <w:rPr>
          <w:rFonts w:hint="eastAsia" w:ascii="宋体" w:hAnsi="宋体" w:eastAsia="宋体" w:cs="宋体"/>
          <w:color w:val="auto"/>
          <w:spacing w:val="-3"/>
          <w:sz w:val="24"/>
          <w:szCs w:val="20"/>
          <w:highlight w:val="none"/>
        </w:rPr>
        <w:t xml:space="preserve">）</w:t>
      </w:r>
      <w:r>
        <w:rPr>
          <w:rFonts w:hint="eastAsia" w:ascii="宋体" w:hAnsi="宋体" w:eastAsia="宋体" w:cs="宋体"/>
          <w:b/>
          <w:bCs/>
          <w:color w:val="auto"/>
          <w:sz w:val="24"/>
          <w:szCs w:val="20"/>
          <w:highlight w:val="none"/>
        </w:rPr>
        <w:t xml:space="preserve">重大违法记录，且不是失信被执行人、重大税收违法案件当事人名单、严重违法失信行为记录名单的供应商</w:t>
      </w:r>
      <w:r>
        <w:rPr>
          <w:rFonts w:hint="eastAsia" w:ascii="宋体" w:hAnsi="宋体" w:eastAsia="宋体" w:cs="宋体"/>
          <w:b/>
          <w:color w:val="auto"/>
          <w:spacing w:val="1"/>
          <w:sz w:val="24"/>
          <w:szCs w:val="20"/>
          <w:highlight w:val="none"/>
        </w:rPr>
        <w:t xml:space="preserve">。</w:t>
      </w:r>
      <w:r/>
    </w:p>
    <w:p>
      <w:pPr>
        <w:spacing w:line="360" w:lineRule="auto"/>
        <w:rPr>
          <w:rFonts w:ascii="宋体" w:hAnsi="宋体" w:eastAsia="宋体" w:cs="宋体"/>
          <w:color w:val="auto"/>
          <w:szCs w:val="21"/>
          <w:highlight w:val="none"/>
        </w:rPr>
      </w:pPr>
      <w:r>
        <w:rPr>
          <w:rFonts w:hint="eastAsia" w:ascii="宋体" w:hAnsi="宋体" w:eastAsia="宋体" w:cs="宋体"/>
          <w:color w:val="auto"/>
          <w:sz w:val="24"/>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990"/>
        <w:jc w:val="right"/>
        <w:spacing w:line="360" w:lineRule="auto"/>
        <w:tabs>
          <w:tab w:val="left" w:pos="5860" w:leader="none"/>
        </w:tabs>
        <w:rPr>
          <w:rFonts w:ascii="宋体" w:hAnsi="宋体" w:eastAsia="宋体" w:cs="宋体"/>
          <w:color w:val="auto"/>
          <w:szCs w:val="21"/>
          <w:highlight w:val="none"/>
        </w:rPr>
      </w:pPr>
      <w:r>
        <w:rPr>
          <w:rFonts w:ascii="宋体" w:hAnsi="宋体" w:eastAsia="宋体" w:cs="宋体"/>
          <w:color w:val="auto"/>
          <w:szCs w:val="21"/>
          <w:highlight w:val="none"/>
        </w:rPr>
      </w:r>
      <w:r/>
    </w:p>
    <w:p>
      <w:pPr>
        <w:ind w:firstLine="3990"/>
        <w:jc w:val="right"/>
        <w:spacing w:line="360" w:lineRule="auto"/>
        <w:tabs>
          <w:tab w:val="left" w:pos="586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声明人：</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（电子公章）</w:t>
      </w:r>
      <w:r/>
    </w:p>
    <w:p>
      <w:pPr>
        <w:ind w:left="4000"/>
        <w:jc w:val="right"/>
        <w:spacing w:line="360" w:lineRule="auto"/>
        <w:tabs>
          <w:tab w:val="left" w:pos="4620" w:leader="none"/>
          <w:tab w:val="left" w:pos="5340" w:leader="none"/>
          <w:tab w:val="left" w:pos="5760" w:leader="none"/>
          <w:tab w:val="left" w:pos="6180"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期：</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日</w:t>
      </w:r>
      <w:r/>
    </w:p>
    <w:p>
      <w:pPr>
        <w:jc w:val="center"/>
        <w:rPr>
          <w:rFonts w:ascii="宋体" w:hAnsi="宋体" w:eastAsia="宋体" w:cs="宋体"/>
          <w:b/>
          <w:color w:val="auto"/>
          <w:sz w:val="31"/>
          <w:szCs w:val="31"/>
          <w:highlight w:val="none"/>
        </w:rPr>
      </w:pPr>
      <w:r>
        <w:rPr>
          <w:rFonts w:hint="eastAsia" w:ascii="宋体" w:hAnsi="宋体" w:eastAsia="宋体" w:cs="宋体"/>
          <w:b/>
          <w:color w:val="auto"/>
          <w:sz w:val="31"/>
          <w:szCs w:val="31"/>
          <w:highlight w:val="none"/>
        </w:rPr>
        <w:t xml:space="preserve">（二）承诺函</w:t>
      </w:r>
      <w:r/>
    </w:p>
    <w:p>
      <w:pPr>
        <w:rPr>
          <w:rFonts w:ascii="宋体" w:hAnsi="宋体" w:eastAsia="宋体" w:cs="宋体"/>
          <w:b/>
          <w:color w:val="auto"/>
          <w:sz w:val="31"/>
          <w:szCs w:val="31"/>
          <w:highlight w:val="none"/>
        </w:rPr>
      </w:pPr>
      <w:r>
        <w:rPr>
          <w:rFonts w:ascii="宋体" w:hAnsi="宋体" w:eastAsia="宋体" w:cs="宋体"/>
          <w:b/>
          <w:color w:val="auto"/>
          <w:sz w:val="31"/>
          <w:szCs w:val="31"/>
          <w:highlight w:val="none"/>
        </w:rPr>
      </w:r>
      <w:r/>
    </w:p>
    <w:p>
      <w:pPr>
        <w:jc w:val="left"/>
        <w:spacing w:line="360" w:lineRule="auto"/>
        <w:rPr>
          <w:rFonts w:ascii="Calibri" w:hAnsi="Calibri" w:eastAsia="宋体" w:cs="Times New Roman"/>
          <w:color w:val="auto"/>
          <w:spacing w:val="-8"/>
          <w:sz w:val="24"/>
          <w:szCs w:val="20"/>
          <w:highlight w:val="none"/>
        </w:rPr>
      </w:pPr>
      <w:r>
        <w:rPr>
          <w:rFonts w:hint="eastAsia" w:ascii="Calibri" w:hAnsi="Calibri" w:eastAsia="宋体" w:cs="Times New Roman"/>
          <w:color w:val="auto"/>
          <w:sz w:val="24"/>
          <w:szCs w:val="20"/>
          <w:highlight w:val="none"/>
          <w:lang w:eastAsia="zh-CN"/>
        </w:rPr>
        <w:t xml:space="preserve">南京市栖霞区农业农村局</w:t>
      </w:r>
      <w:r>
        <w:rPr>
          <w:rFonts w:hint="eastAsia" w:ascii="Calibri" w:hAnsi="Calibri" w:eastAsia="宋体" w:cs="Times New Roman"/>
          <w:color w:val="auto"/>
          <w:sz w:val="24"/>
          <w:szCs w:val="20"/>
          <w:highlight w:val="none"/>
        </w:rPr>
        <w:t xml:space="preserve">：</w:t>
      </w:r>
      <w:r/>
    </w:p>
    <w:p>
      <w:pPr>
        <w:ind w:firstLine="480"/>
        <w:spacing w:line="360" w:lineRule="auto"/>
        <w:rPr>
          <w:rFonts w:ascii="宋体" w:hAnsi="宋体" w:eastAsia="宋体" w:cs="宋体"/>
          <w:bCs/>
          <w:color w:val="auto"/>
          <w:sz w:val="24"/>
          <w:highlight w:val="none"/>
        </w:rPr>
      </w:pPr>
      <w:r>
        <w:rPr>
          <w:rFonts w:hint="eastAsia" w:ascii="宋体" w:hAnsi="宋体" w:cs="宋体"/>
          <w:bCs/>
          <w:color w:val="auto"/>
          <w:sz w:val="24"/>
          <w:highlight w:val="none"/>
        </w:rPr>
        <w:t xml:space="preserve">我单位</w:t>
      </w:r>
      <w:r>
        <w:rPr>
          <w:rFonts w:hint="eastAsia" w:ascii="宋体" w:hAnsi="宋体" w:cs="宋体"/>
          <w:color w:val="auto"/>
          <w:sz w:val="24"/>
          <w:szCs w:val="21"/>
          <w:highlight w:val="none"/>
          <w:u w:val="single"/>
        </w:rPr>
        <w:t xml:space="preserve">        （供应商名称）</w:t>
      </w:r>
      <w:r>
        <w:rPr>
          <w:rFonts w:hint="eastAsia" w:ascii="宋体" w:hAnsi="宋体" w:cs="宋体"/>
          <w:bCs/>
          <w:color w:val="auto"/>
          <w:sz w:val="24"/>
          <w:highlight w:val="none"/>
        </w:rPr>
        <w:t xml:space="preserve">郑重承诺以下事项，若有虚假承诺愿承担一切相关责任：</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（1）单位负责人为同一人或者存在直接控股、管理关系的不同供应商，不得参加同一合同项下的政府采购活动。</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（2）凡为采购项目提供整体设计、规范编制或者项目管理、监理、检测等服务的供应商，不得再参加本项目的采购活动。</w:t>
      </w:r>
      <w:r/>
    </w:p>
    <w:p>
      <w:pPr>
        <w:ind w:firstLine="240"/>
        <w:spacing w:line="360" w:lineRule="auto"/>
        <w:rPr>
          <w:rFonts w:ascii="宋体" w:hAnsi="宋体" w:cs="宋体"/>
          <w:color w:val="auto"/>
          <w:sz w:val="24"/>
          <w:highlight w:val="none"/>
        </w:rPr>
      </w:pPr>
      <w:r>
        <w:rPr>
          <w:rFonts w:hint="eastAsia" w:ascii="宋体" w:hAnsi="宋体" w:cs="宋体"/>
          <w:color w:val="auto"/>
          <w:sz w:val="24"/>
          <w:highlight w:val="none"/>
        </w:rPr>
        <w:t xml:space="preserve">（3）未被“信用中国”网站（www.creditchina.gov.cn）、“中国政府采网”网站(www.ccgp.gov.cn)、“信用江苏”（http://credit.jiangsu.gov.cn/）列入失信被执行人、重大税收违法案件当事人名单、政府采购严重违法失信行为记录名单。</w:t>
      </w:r>
      <w:r/>
    </w:p>
    <w:p>
      <w:pPr>
        <w:ind w:firstLine="240"/>
        <w:rPr>
          <w:rFonts w:ascii="宋体" w:hAnsi="宋体" w:cs="宋体"/>
          <w:b/>
          <w:color w:val="auto"/>
          <w:sz w:val="31"/>
          <w:szCs w:val="31"/>
          <w:highlight w:val="none"/>
        </w:rPr>
      </w:pPr>
      <w:r>
        <w:rPr>
          <w:rFonts w:hint="eastAsia" w:ascii="宋体" w:hAnsi="宋体" w:eastAsia="宋体" w:cs="宋体"/>
          <w:color w:val="auto"/>
          <w:sz w:val="24"/>
          <w:highlight w:val="none"/>
        </w:rPr>
        <w:t xml:space="preserve">（4）</w:t>
      </w:r>
      <w:r>
        <w:rPr>
          <w:rFonts w:hint="eastAsia" w:ascii="宋体" w:hAnsi="宋体" w:cs="宋体"/>
          <w:color w:val="auto"/>
          <w:sz w:val="24"/>
          <w:highlight w:val="none"/>
        </w:rPr>
        <w:t xml:space="preserve">我单位为非联合体投标。</w:t>
      </w:r>
      <w:r/>
    </w:p>
    <w:p>
      <w:pPr>
        <w:ind w:right="9"/>
        <w:spacing w:line="360" w:lineRule="auto"/>
        <w:rPr>
          <w:rFonts w:ascii="宋体" w:hAnsi="宋体" w:cs="宋体"/>
          <w:color w:val="auto"/>
          <w:szCs w:val="21"/>
          <w:highlight w:val="none"/>
        </w:rPr>
      </w:pPr>
      <w:r>
        <w:rPr>
          <w:rFonts w:ascii="宋体" w:hAnsi="宋体" w:cs="宋体"/>
          <w:color w:val="auto"/>
          <w:szCs w:val="21"/>
          <w:highlight w:val="none"/>
        </w:rPr>
      </w:r>
      <w:r/>
    </w:p>
    <w:p>
      <w:pPr>
        <w:ind w:right="9" w:firstLine="609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供应商名称：</w:t>
      </w:r>
      <w:r>
        <w:rPr>
          <w:rFonts w:hint="eastAsia" w:ascii="宋体" w:hAnsi="宋体" w:cs="宋体"/>
          <w:color w:val="auto"/>
          <w:szCs w:val="21"/>
          <w:highlight w:val="none"/>
          <w:u w:val="single"/>
        </w:rPr>
        <w:t xml:space="preserve">（电子公章）</w:t>
      </w:r>
      <w:r/>
    </w:p>
    <w:p>
      <w:pPr>
        <w:ind w:right="9" w:firstLine="46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法定代表人或其授权代理人：</w:t>
      </w:r>
      <w:r>
        <w:rPr>
          <w:rFonts w:hint="eastAsia" w:ascii="宋体" w:hAnsi="宋体" w:cs="宋体"/>
          <w:color w:val="auto"/>
          <w:szCs w:val="21"/>
          <w:highlight w:val="none"/>
          <w:u w:val="single"/>
        </w:rPr>
        <w:t xml:space="preserve">（签字</w:t>
      </w:r>
      <w:r>
        <w:rPr>
          <w:rFonts w:hint="eastAsia" w:ascii="宋体" w:hAnsi="宋体" w:cs="宋体"/>
          <w:color w:val="auto"/>
          <w:szCs w:val="21"/>
          <w:highlight w:val="none"/>
          <w:u w:val="single"/>
          <w:lang w:val="en-US" w:eastAsia="zh-CN"/>
        </w:rPr>
        <w:t xml:space="preserve">或盖章</w:t>
      </w:r>
      <w:r>
        <w:rPr>
          <w:rFonts w:hint="eastAsia" w:ascii="宋体" w:hAnsi="宋体" w:cs="宋体"/>
          <w:color w:val="auto"/>
          <w:szCs w:val="21"/>
          <w:highlight w:val="none"/>
          <w:u w:val="single"/>
        </w:rPr>
        <w:t xml:space="preserve">）</w:t>
      </w:r>
      <w:r/>
    </w:p>
    <w:p>
      <w:pPr>
        <w:jc w:val="center"/>
        <w:rPr>
          <w:rFonts w:ascii="宋体" w:hAnsi="宋体" w:eastAsia="宋体" w:cs="宋体"/>
          <w:b/>
          <w:color w:val="auto"/>
          <w:sz w:val="31"/>
          <w:szCs w:val="31"/>
          <w:highlight w:val="none"/>
        </w:rPr>
      </w:pPr>
      <w:r>
        <w:rPr>
          <w:rFonts w:hint="eastAsia" w:cs="宋体"/>
          <w:color w:val="auto"/>
          <w:szCs w:val="21"/>
          <w:highlight w:val="none"/>
        </w:rPr>
        <w:t xml:space="preserve">                                           日期：   年   月   日</w:t>
      </w:r>
      <w:r/>
    </w:p>
    <w:p>
      <w:pPr>
        <w:ind w:left="4000"/>
        <w:jc w:val="right"/>
        <w:spacing w:line="360" w:lineRule="auto"/>
        <w:tabs>
          <w:tab w:val="left" w:pos="4620" w:leader="none"/>
          <w:tab w:val="left" w:pos="5340" w:leader="none"/>
          <w:tab w:val="left" w:pos="5760" w:leader="none"/>
          <w:tab w:val="left" w:pos="6180" w:leader="none"/>
        </w:tabs>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b/>
          <w:color w:val="auto"/>
          <w:sz w:val="31"/>
          <w:szCs w:val="31"/>
          <w:highlight w:val="none"/>
        </w:rPr>
      </w:pPr>
      <w:r>
        <w:rPr>
          <w:rFonts w:hint="eastAsia" w:ascii="宋体" w:hAnsi="宋体" w:eastAsia="宋体" w:cs="宋体"/>
          <w:b/>
          <w:color w:val="auto"/>
          <w:sz w:val="31"/>
          <w:szCs w:val="31"/>
          <w:highlight w:val="none"/>
        </w:rPr>
        <w:br w:type="page" w:clear="all"/>
      </w:r>
      <w:r/>
    </w:p>
    <w:p>
      <w:pPr>
        <w:pStyle w:val="788"/>
        <w:rPr>
          <w:color w:val="auto"/>
          <w:highlight w:val="none"/>
        </w:rPr>
      </w:pPr>
      <w:r>
        <w:rPr>
          <w:color w:val="auto"/>
          <w:highlight w:val="none"/>
        </w:rPr>
      </w:r>
      <w:r/>
    </w:p>
    <w:p>
      <w:pPr>
        <w:rPr>
          <w:rFonts w:ascii="宋体" w:hAnsi="宋体" w:eastAsia="宋体" w:cs="宋体"/>
          <w:b/>
          <w:bCs/>
          <w:color w:val="auto"/>
          <w:sz w:val="31"/>
          <w:szCs w:val="31"/>
          <w:highlight w:val="none"/>
        </w:rPr>
      </w:pPr>
      <w:r>
        <w:rPr>
          <w:rFonts w:hint="eastAsia" w:ascii="宋体" w:hAnsi="宋体" w:eastAsia="宋体" w:cs="宋体"/>
          <w:b/>
          <w:color w:val="auto"/>
          <w:sz w:val="31"/>
          <w:szCs w:val="31"/>
          <w:highlight w:val="none"/>
        </w:rPr>
        <w:t xml:space="preserve">附件十、《南京市政府采购供应商信用记录表暨信用承诺书》 </w:t>
      </w:r>
      <w:r/>
    </w:p>
    <w:p>
      <w:pPr>
        <w:ind w:firstLine="1890"/>
        <w:rPr>
          <w:rFonts w:ascii="宋体" w:hAnsi="宋体" w:eastAsia="宋体" w:cs="宋体"/>
          <w:color w:val="auto"/>
          <w:szCs w:val="21"/>
          <w:highlight w:val="none"/>
        </w:rPr>
      </w:pPr>
      <w:r>
        <w:rPr>
          <w:rFonts w:hint="eastAsia" w:ascii="宋体" w:hAnsi="宋体" w:eastAsia="宋体" w:cs="宋体"/>
          <w:color w:val="auto"/>
          <w:szCs w:val="21"/>
          <w:highlight w:val="none"/>
        </w:rPr>
        <w:t xml:space="preserve">（</w:t>
      </w:r>
      <w:r>
        <w:rPr>
          <w:rFonts w:ascii="宋体" w:hAnsi="宋体" w:eastAsia="宋体" w:cs="宋体"/>
          <w:color w:val="auto"/>
          <w:sz w:val="22"/>
          <w:szCs w:val="22"/>
          <w:highlight w:val="none"/>
        </w:rPr>
        <w:t xml:space="preserve">网站在线打印签字并加盖公章</w:t>
      </w:r>
      <w:r>
        <w:rPr>
          <w:rFonts w:hint="eastAsia" w:ascii="宋体" w:hAnsi="宋体" w:eastAsia="宋体" w:cs="宋体"/>
          <w:color w:val="auto"/>
          <w:szCs w:val="21"/>
          <w:highlight w:val="none"/>
        </w:rPr>
        <w:t xml:space="preserve">）</w:t>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highlight w:val="none"/>
        </w:rPr>
      </w:pPr>
      <w:r>
        <w:rPr>
          <w:rFonts w:hint="eastAsia" w:ascii="宋体" w:hAnsi="宋体" w:eastAsia="宋体" w:cs="宋体"/>
          <w:b/>
          <w:color w:val="auto"/>
          <w:sz w:val="31"/>
          <w:szCs w:val="31"/>
          <w:highlight w:val="none"/>
        </w:rPr>
        <w:t xml:space="preserve">附件十</w:t>
      </w:r>
      <w:r>
        <w:rPr>
          <w:rFonts w:hint="eastAsia" w:ascii="宋体" w:hAnsi="宋体" w:eastAsia="宋体" w:cs="宋体"/>
          <w:b/>
          <w:color w:val="auto"/>
          <w:sz w:val="31"/>
          <w:szCs w:val="31"/>
          <w:highlight w:val="none"/>
          <w:lang w:val="en-US" w:eastAsia="zh-CN"/>
        </w:rPr>
        <w:t xml:space="preserve">一</w:t>
      </w:r>
      <w:r>
        <w:rPr>
          <w:rFonts w:hint="eastAsia" w:ascii="宋体" w:hAnsi="宋体" w:eastAsia="宋体" w:cs="宋体"/>
          <w:b/>
          <w:color w:val="auto"/>
          <w:sz w:val="31"/>
          <w:szCs w:val="31"/>
          <w:highlight w:val="none"/>
        </w:rPr>
        <w:t xml:space="preserve">、投标需要的其他证明文件及材料（若有）</w:t>
      </w:r>
      <w:r/>
    </w:p>
    <w:p>
      <w:pPr>
        <w:ind w:left="3800"/>
        <w:spacing w:line="239" w:lineRule="auto"/>
        <w:rPr>
          <w:rFonts w:ascii="宋体" w:hAnsi="宋体" w:eastAsia="宋体" w:cs="宋体"/>
          <w:color w:val="auto"/>
          <w:sz w:val="18"/>
          <w:highlight w:val="none"/>
        </w:rPr>
      </w:pPr>
      <w:r>
        <w:rPr>
          <w:rFonts w:ascii="宋体" w:hAnsi="宋体" w:eastAsia="宋体" w:cs="宋体"/>
          <w:color w:val="auto"/>
          <w:sz w:val="18"/>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sectPr>
      <w:footnotePr/>
      <w:endnotePr/>
      <w:type w:val="nextPage"/>
      <w:pgSz w:w="11900" w:h="16838" w:orient="portrait"/>
      <w:pgMar w:top="1270" w:right="1242" w:bottom="1157" w:left="1179" w:header="794"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Song">
    <w:panose1 w:val="02010600040101010101"/>
  </w:font>
  <w:font w:name="新宋体">
    <w:panose1 w:val="02010609030101010101"/>
  </w:font>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Calibri">
    <w:panose1 w:val="020F0502020204030204"/>
  </w:font>
  <w:font w:name="楷体_GB2312">
    <w:panose1 w:val="02010609060101010101"/>
  </w:font>
  <w:font w:name="黑体">
    <w:panose1 w:val="02010609060101010101"/>
  </w:font>
  <w:font w:name="仿宋_GB2312">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enter" w:pos="4153" w:leader="none"/>
        <w:tab w:val="clear" w:pos="7143" w:leader="none"/>
        <w:tab w:val="right" w:pos="8306" w:leader="none"/>
        <w:tab w:val="clear" w:pos="14287" w:leader="none"/>
      </w:tabs>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150"/>
      </w:pPr>
    </w:lvl>
    <w:lvl w:ilvl="1">
      <w:start w:val="1"/>
      <w:numFmt w:val="bullet"/>
      <w:isLgl w:val="false"/>
      <w:suff w:val="tab"/>
      <w:lvlText w:val="o"/>
      <w:lvlJc w:val="left"/>
      <w:pPr>
        <w:ind w:left="2865" w:hanging="360"/>
      </w:pPr>
      <w:rPr>
        <w:rFonts w:hint="default" w:ascii="Courier New" w:hAnsi="Courier New" w:eastAsia="Courier New" w:cs="Courier New"/>
      </w:rPr>
    </w:lvl>
    <w:lvl w:ilvl="2">
      <w:start w:val="1"/>
      <w:numFmt w:val="bullet"/>
      <w:isLgl w:val="false"/>
      <w:suff w:val="tab"/>
      <w:lvlText w:val="§"/>
      <w:lvlJc w:val="left"/>
      <w:pPr>
        <w:ind w:left="3585" w:hanging="360"/>
      </w:pPr>
      <w:rPr>
        <w:rFonts w:hint="default" w:ascii="Wingdings" w:hAnsi="Wingdings" w:eastAsia="Wingdings" w:cs="Wingdings"/>
      </w:rPr>
    </w:lvl>
    <w:lvl w:ilvl="3">
      <w:start w:val="1"/>
      <w:numFmt w:val="bullet"/>
      <w:isLgl w:val="false"/>
      <w:suff w:val="tab"/>
      <w:lvlText w:val="·"/>
      <w:lvlJc w:val="left"/>
      <w:pPr>
        <w:ind w:left="4305" w:hanging="360"/>
      </w:pPr>
      <w:rPr>
        <w:rFonts w:hint="default" w:ascii="Symbol" w:hAnsi="Symbol" w:eastAsia="Symbol" w:cs="Symbol"/>
      </w:rPr>
    </w:lvl>
    <w:lvl w:ilvl="4">
      <w:start w:val="1"/>
      <w:numFmt w:val="bullet"/>
      <w:isLgl w:val="false"/>
      <w:suff w:val="tab"/>
      <w:lvlText w:val="o"/>
      <w:lvlJc w:val="left"/>
      <w:pPr>
        <w:ind w:left="5025" w:hanging="360"/>
      </w:pPr>
      <w:rPr>
        <w:rFonts w:hint="default" w:ascii="Courier New" w:hAnsi="Courier New" w:eastAsia="Courier New" w:cs="Courier New"/>
      </w:rPr>
    </w:lvl>
    <w:lvl w:ilvl="5">
      <w:start w:val="1"/>
      <w:numFmt w:val="bullet"/>
      <w:isLgl w:val="false"/>
      <w:suff w:val="tab"/>
      <w:lvlText w:val="§"/>
      <w:lvlJc w:val="left"/>
      <w:pPr>
        <w:ind w:left="5745" w:hanging="360"/>
      </w:pPr>
      <w:rPr>
        <w:rFonts w:hint="default" w:ascii="Wingdings" w:hAnsi="Wingdings" w:eastAsia="Wingdings" w:cs="Wingdings"/>
      </w:rPr>
    </w:lvl>
    <w:lvl w:ilvl="6">
      <w:start w:val="1"/>
      <w:numFmt w:val="bullet"/>
      <w:isLgl w:val="false"/>
      <w:suff w:val="tab"/>
      <w:lvlText w:val="·"/>
      <w:lvlJc w:val="left"/>
      <w:pPr>
        <w:ind w:left="6465" w:hanging="360"/>
      </w:pPr>
      <w:rPr>
        <w:rFonts w:hint="default" w:ascii="Symbol" w:hAnsi="Symbol" w:eastAsia="Symbol" w:cs="Symbol"/>
      </w:rPr>
    </w:lvl>
    <w:lvl w:ilvl="7">
      <w:start w:val="1"/>
      <w:numFmt w:val="bullet"/>
      <w:isLgl w:val="false"/>
      <w:suff w:val="tab"/>
      <w:lvlText w:val="o"/>
      <w:lvlJc w:val="left"/>
      <w:pPr>
        <w:ind w:left="7185" w:hanging="360"/>
      </w:pPr>
      <w:rPr>
        <w:rFonts w:hint="default" w:ascii="Courier New" w:hAnsi="Courier New" w:eastAsia="Courier New" w:cs="Courier New"/>
      </w:rPr>
    </w:lvl>
    <w:lvl w:ilvl="8">
      <w:start w:val="1"/>
      <w:numFmt w:val="bullet"/>
      <w:isLgl w:val="false"/>
      <w:suff w:val="tab"/>
      <w:lvlText w:val="§"/>
      <w:lvlJc w:val="left"/>
      <w:pPr>
        <w:ind w:left="7905"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ind w:left="-2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2160" w:hanging="1440"/>
      </w:pPr>
      <w:rPr>
        <w:rFonts w:hint="default"/>
      </w:r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1">
    <w:name w:val="Plain Table 1"/>
    <w:basedOn w:val="7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2">
    <w:name w:val="Plain Table 2"/>
    <w:basedOn w:val="7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3"/>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4">
    <w:name w:val="Plain Table 4"/>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5">
    <w:name w:val="Plain Table 5"/>
    <w:basedOn w:val="7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6">
    <w:name w:val="Grid Table 1 Light"/>
    <w:basedOn w:val="7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7">
    <w:name w:val="Grid Table 2"/>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8">
    <w:name w:val="Grid Table 3"/>
    <w:basedOn w:val="7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4"/>
    <w:basedOn w:val="7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0">
    <w:name w:val="Grid Table 5 Dark"/>
    <w:basedOn w:val="7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1">
    <w:name w:val="Grid Table 6 Colorful"/>
    <w:basedOn w:val="7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2">
    <w:name w:val="Grid Table 7 Colorful"/>
    <w:basedOn w:val="7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3">
    <w:name w:val="List Table 1 Light"/>
    <w:basedOn w:val="7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4">
    <w:name w:val="List Table 2"/>
    <w:basedOn w:val="7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5">
    <w:name w:val="List Table 3"/>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6">
    <w:name w:val="List Table 4"/>
    <w:basedOn w:val="7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7">
    <w:name w:val="List Table 5 Dark"/>
    <w:basedOn w:val="7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8">
    <w:name w:val="List Table 6 Colorful"/>
    <w:basedOn w:val="7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9">
    <w:name w:val="List Table 7 Colorful"/>
    <w:basedOn w:val="7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0">
    <w:name w:val="TOC Heading"/>
    <w:uiPriority w:val="39"/>
    <w:unhideWhenUsed/>
  </w:style>
  <w:style w:type="paragraph" w:styleId="721"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2">
    <w:name w:val="Heading 1"/>
    <w:basedOn w:val="721"/>
    <w:next w:val="721"/>
    <w:uiPriority w:val="99"/>
    <w:qFormat/>
    <w:pPr>
      <w:keepLines/>
      <w:keepNext/>
      <w:spacing w:before="340" w:after="330" w:line="578" w:lineRule="auto"/>
      <w:outlineLvl w:val="0"/>
    </w:pPr>
    <w:rPr>
      <w:b/>
      <w:bCs/>
      <w:sz w:val="44"/>
      <w:szCs w:val="44"/>
    </w:rPr>
  </w:style>
  <w:style w:type="paragraph" w:styleId="723">
    <w:name w:val="Heading 2"/>
    <w:basedOn w:val="721"/>
    <w:next w:val="721"/>
    <w:link w:val="807"/>
    <w:uiPriority w:val="9"/>
    <w:unhideWhenUsed/>
    <w:qFormat/>
    <w:pPr>
      <w:keepLines/>
      <w:keepNext/>
      <w:spacing w:before="360" w:after="200"/>
      <w:outlineLvl w:val="1"/>
    </w:pPr>
    <w:rPr>
      <w:rFonts w:ascii="Arial" w:hAnsi="Arial" w:eastAsia="Arial" w:cs="Arial"/>
      <w:sz w:val="34"/>
    </w:rPr>
  </w:style>
  <w:style w:type="paragraph" w:styleId="724">
    <w:name w:val="Heading 3"/>
    <w:basedOn w:val="721"/>
    <w:next w:val="721"/>
    <w:link w:val="808"/>
    <w:uiPriority w:val="9"/>
    <w:unhideWhenUsed/>
    <w:qFormat/>
    <w:pPr>
      <w:keepLines/>
      <w:keepNext/>
      <w:spacing w:before="320" w:after="200"/>
      <w:outlineLvl w:val="2"/>
    </w:pPr>
    <w:rPr>
      <w:rFonts w:ascii="Arial" w:hAnsi="Arial" w:eastAsia="Arial" w:cs="Arial"/>
      <w:sz w:val="30"/>
      <w:szCs w:val="30"/>
    </w:rPr>
  </w:style>
  <w:style w:type="paragraph" w:styleId="725">
    <w:name w:val="Heading 4"/>
    <w:basedOn w:val="721"/>
    <w:next w:val="733"/>
    <w:link w:val="809"/>
    <w:uiPriority w:val="9"/>
    <w:unhideWhenUsed/>
    <w:qFormat/>
    <w:pPr>
      <w:keepLines/>
      <w:keepNext/>
      <w:spacing w:before="320" w:after="200"/>
      <w:outlineLvl w:val="3"/>
    </w:pPr>
    <w:rPr>
      <w:rFonts w:ascii="Arial" w:hAnsi="Arial" w:eastAsia="Arial" w:cs="Arial"/>
      <w:b/>
      <w:bCs/>
      <w:sz w:val="26"/>
      <w:szCs w:val="26"/>
    </w:rPr>
  </w:style>
  <w:style w:type="paragraph" w:styleId="726">
    <w:name w:val="Heading 5"/>
    <w:basedOn w:val="721"/>
    <w:next w:val="721"/>
    <w:link w:val="810"/>
    <w:uiPriority w:val="9"/>
    <w:unhideWhenUsed/>
    <w:qFormat/>
    <w:pPr>
      <w:keepLines/>
      <w:keepNext/>
      <w:spacing w:before="320" w:after="200"/>
      <w:outlineLvl w:val="4"/>
    </w:pPr>
    <w:rPr>
      <w:rFonts w:ascii="Arial" w:hAnsi="Arial" w:eastAsia="Arial" w:cs="Arial"/>
      <w:b/>
      <w:bCs/>
      <w:sz w:val="24"/>
    </w:rPr>
  </w:style>
  <w:style w:type="paragraph" w:styleId="727">
    <w:name w:val="Heading 6"/>
    <w:basedOn w:val="721"/>
    <w:next w:val="721"/>
    <w:link w:val="811"/>
    <w:uiPriority w:val="9"/>
    <w:unhideWhenUsed/>
    <w:qFormat/>
    <w:pPr>
      <w:keepLines/>
      <w:keepNext/>
      <w:spacing w:before="320" w:after="200"/>
      <w:outlineLvl w:val="5"/>
    </w:pPr>
    <w:rPr>
      <w:rFonts w:ascii="Arial" w:hAnsi="Arial" w:eastAsia="Arial" w:cs="Arial"/>
      <w:b/>
      <w:bCs/>
      <w:sz w:val="22"/>
      <w:szCs w:val="22"/>
    </w:rPr>
  </w:style>
  <w:style w:type="paragraph" w:styleId="728">
    <w:name w:val="Heading 7"/>
    <w:basedOn w:val="721"/>
    <w:next w:val="721"/>
    <w:link w:val="812"/>
    <w:uiPriority w:val="9"/>
    <w:unhideWhenUsed/>
    <w:qFormat/>
    <w:pPr>
      <w:keepLines/>
      <w:keepNext/>
      <w:spacing w:before="320" w:after="200"/>
      <w:outlineLvl w:val="6"/>
    </w:pPr>
    <w:rPr>
      <w:rFonts w:ascii="Arial" w:hAnsi="Arial" w:eastAsia="Arial" w:cs="Arial"/>
      <w:b/>
      <w:bCs/>
      <w:i/>
      <w:iCs/>
      <w:sz w:val="22"/>
      <w:szCs w:val="22"/>
    </w:rPr>
  </w:style>
  <w:style w:type="paragraph" w:styleId="729">
    <w:name w:val="Heading 8"/>
    <w:basedOn w:val="721"/>
    <w:next w:val="721"/>
    <w:link w:val="813"/>
    <w:uiPriority w:val="9"/>
    <w:unhideWhenUsed/>
    <w:qFormat/>
    <w:pPr>
      <w:keepLines/>
      <w:keepNext/>
      <w:spacing w:before="320" w:after="200"/>
      <w:outlineLvl w:val="7"/>
    </w:pPr>
    <w:rPr>
      <w:rFonts w:ascii="Arial" w:hAnsi="Arial" w:eastAsia="Arial" w:cs="Arial"/>
      <w:i/>
      <w:iCs/>
      <w:sz w:val="22"/>
      <w:szCs w:val="22"/>
    </w:rPr>
  </w:style>
  <w:style w:type="paragraph" w:styleId="730">
    <w:name w:val="Heading 9"/>
    <w:basedOn w:val="721"/>
    <w:next w:val="721"/>
    <w:link w:val="814"/>
    <w:uiPriority w:val="9"/>
    <w:unhideWhenUsed/>
    <w:qFormat/>
    <w:pPr>
      <w:keepLines/>
      <w:keepNext/>
      <w:spacing w:before="320" w:after="200"/>
      <w:outlineLvl w:val="8"/>
    </w:pPr>
    <w:rPr>
      <w:rFonts w:ascii="Arial" w:hAnsi="Arial" w:eastAsia="Arial" w:cs="Arial"/>
      <w:i/>
      <w:iCs/>
      <w:szCs w:val="21"/>
    </w:rPr>
  </w:style>
  <w:style w:type="character" w:styleId="731" w:default="1">
    <w:name w:val="Default Paragraph Font"/>
    <w:uiPriority w:val="1"/>
    <w:semiHidden/>
    <w:unhideWhenUsed/>
    <w:qFormat/>
  </w:style>
  <w:style w:type="table" w:styleId="732" w:default="1">
    <w:name w:val="Normal Table"/>
    <w:uiPriority w:val="99"/>
    <w:semiHidden/>
    <w:unhideWhenUsed/>
    <w:qFormat/>
    <w:tblPr>
      <w:tblCellMar>
        <w:left w:w="108" w:type="dxa"/>
        <w:top w:w="0" w:type="dxa"/>
        <w:right w:w="108" w:type="dxa"/>
        <w:bottom w:w="0" w:type="dxa"/>
      </w:tblCellMar>
    </w:tblPr>
  </w:style>
  <w:style w:type="paragraph" w:styleId="733" w:customStyle="1">
    <w:name w:val="正文首缩两字"/>
    <w:basedOn w:val="721"/>
    <w:uiPriority w:val="0"/>
    <w:qFormat/>
    <w:pPr>
      <w:ind w:left="210" w:right="210" w:firstLine="480"/>
      <w:spacing w:line="360" w:lineRule="auto"/>
    </w:pPr>
    <w:rPr>
      <w:rFonts w:ascii="宋体" w:hAnsi="宋体" w:eastAsia="仿宋_GB2312"/>
      <w:sz w:val="24"/>
    </w:rPr>
  </w:style>
  <w:style w:type="paragraph" w:styleId="734">
    <w:name w:val="toc 7"/>
    <w:basedOn w:val="721"/>
    <w:next w:val="721"/>
    <w:uiPriority w:val="39"/>
    <w:unhideWhenUsed/>
    <w:qFormat/>
    <w:pPr>
      <w:ind w:left="1701"/>
      <w:spacing w:after="57"/>
    </w:pPr>
  </w:style>
  <w:style w:type="paragraph" w:styleId="735">
    <w:name w:val="Normal Indent"/>
    <w:basedOn w:val="721"/>
    <w:uiPriority w:val="0"/>
    <w:qFormat/>
    <w:pPr>
      <w:ind w:firstLine="420"/>
    </w:pPr>
  </w:style>
  <w:style w:type="paragraph" w:styleId="736">
    <w:name w:val="Caption"/>
    <w:basedOn w:val="721"/>
    <w:next w:val="721"/>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7">
    <w:name w:val="annotation text"/>
    <w:basedOn w:val="721"/>
    <w:link w:val="938"/>
    <w:uiPriority w:val="99"/>
    <w:unhideWhenUsed/>
    <w:qFormat/>
    <w:pPr>
      <w:jc w:val="left"/>
    </w:pPr>
  </w:style>
  <w:style w:type="paragraph" w:styleId="738">
    <w:name w:val="Body Text"/>
    <w:basedOn w:val="721"/>
    <w:next w:val="721"/>
    <w:uiPriority w:val="99"/>
    <w:qFormat/>
    <w:pPr>
      <w:spacing w:after="120"/>
    </w:pPr>
    <w:rPr>
      <w:sz w:val="24"/>
    </w:rPr>
  </w:style>
  <w:style w:type="paragraph" w:styleId="739">
    <w:name w:val="Body Text Indent"/>
    <w:basedOn w:val="721"/>
    <w:next w:val="721"/>
    <w:uiPriority w:val="0"/>
    <w:qFormat/>
    <w:pPr>
      <w:ind w:left="420"/>
      <w:spacing w:after="120"/>
    </w:pPr>
    <w:rPr>
      <w:sz w:val="24"/>
    </w:rPr>
  </w:style>
  <w:style w:type="paragraph" w:styleId="740">
    <w:name w:val="toc 5"/>
    <w:basedOn w:val="721"/>
    <w:next w:val="721"/>
    <w:uiPriority w:val="39"/>
    <w:unhideWhenUsed/>
    <w:qFormat/>
    <w:pPr>
      <w:ind w:left="1134"/>
      <w:spacing w:after="57"/>
    </w:pPr>
  </w:style>
  <w:style w:type="paragraph" w:styleId="741">
    <w:name w:val="toc 3"/>
    <w:basedOn w:val="721"/>
    <w:next w:val="721"/>
    <w:uiPriority w:val="39"/>
    <w:unhideWhenUsed/>
    <w:qFormat/>
    <w:pPr>
      <w:ind w:left="567"/>
      <w:spacing w:after="57"/>
    </w:pPr>
  </w:style>
  <w:style w:type="paragraph" w:styleId="742">
    <w:name w:val="toc 8"/>
    <w:basedOn w:val="721"/>
    <w:next w:val="721"/>
    <w:uiPriority w:val="39"/>
    <w:unhideWhenUsed/>
    <w:qFormat/>
    <w:pPr>
      <w:ind w:left="1984"/>
      <w:spacing w:after="57"/>
    </w:pPr>
  </w:style>
  <w:style w:type="paragraph" w:styleId="743">
    <w:name w:val="endnote text"/>
    <w:basedOn w:val="721"/>
    <w:link w:val="932"/>
    <w:uiPriority w:val="99"/>
    <w:semiHidden/>
    <w:unhideWhenUsed/>
    <w:qFormat/>
    <w:rPr>
      <w:sz w:val="20"/>
    </w:rPr>
  </w:style>
  <w:style w:type="paragraph" w:styleId="744">
    <w:name w:val="Footer"/>
    <w:basedOn w:val="721"/>
    <w:link w:val="946"/>
    <w:uiPriority w:val="99"/>
    <w:unhideWhenUsed/>
    <w:qFormat/>
    <w:pPr>
      <w:tabs>
        <w:tab w:val="center" w:pos="4153" w:leader="none"/>
        <w:tab w:val="right" w:pos="8306" w:leader="none"/>
      </w:tabs>
    </w:pPr>
    <w:rPr>
      <w:sz w:val="18"/>
    </w:rPr>
  </w:style>
  <w:style w:type="paragraph" w:styleId="745">
    <w:name w:val="Header"/>
    <w:basedOn w:val="721"/>
    <w:link w:val="822"/>
    <w:uiPriority w:val="99"/>
    <w:unhideWhenUsed/>
    <w:qFormat/>
    <w:pPr>
      <w:tabs>
        <w:tab w:val="center" w:pos="7143" w:leader="none"/>
        <w:tab w:val="right" w:pos="14287" w:leader="none"/>
      </w:tabs>
    </w:pPr>
  </w:style>
  <w:style w:type="paragraph" w:styleId="746">
    <w:name w:val="toc 1"/>
    <w:basedOn w:val="721"/>
    <w:next w:val="721"/>
    <w:uiPriority w:val="39"/>
    <w:unhideWhenUsed/>
    <w:qFormat/>
    <w:pPr>
      <w:spacing w:after="57"/>
    </w:pPr>
  </w:style>
  <w:style w:type="paragraph" w:styleId="747">
    <w:name w:val="toc 4"/>
    <w:basedOn w:val="721"/>
    <w:next w:val="721"/>
    <w:uiPriority w:val="39"/>
    <w:unhideWhenUsed/>
    <w:qFormat/>
    <w:pPr>
      <w:ind w:left="850"/>
      <w:spacing w:after="57"/>
    </w:pPr>
  </w:style>
  <w:style w:type="paragraph" w:styleId="748">
    <w:name w:val="Subtitle"/>
    <w:basedOn w:val="721"/>
    <w:next w:val="721"/>
    <w:link w:val="817"/>
    <w:uiPriority w:val="11"/>
    <w:qFormat/>
    <w:pPr>
      <w:spacing w:before="200" w:after="200"/>
    </w:pPr>
    <w:rPr>
      <w:sz w:val="24"/>
    </w:rPr>
  </w:style>
  <w:style w:type="paragraph" w:styleId="749">
    <w:name w:val="footnote text"/>
    <w:basedOn w:val="721"/>
    <w:link w:val="931"/>
    <w:uiPriority w:val="99"/>
    <w:semiHidden/>
    <w:unhideWhenUsed/>
    <w:qFormat/>
    <w:pPr>
      <w:spacing w:after="40"/>
    </w:pPr>
    <w:rPr>
      <w:sz w:val="18"/>
    </w:rPr>
  </w:style>
  <w:style w:type="paragraph" w:styleId="750">
    <w:name w:val="toc 6"/>
    <w:basedOn w:val="721"/>
    <w:next w:val="721"/>
    <w:uiPriority w:val="39"/>
    <w:unhideWhenUsed/>
    <w:qFormat/>
    <w:pPr>
      <w:ind w:left="1417"/>
      <w:spacing w:after="57"/>
    </w:pPr>
  </w:style>
  <w:style w:type="paragraph" w:styleId="751">
    <w:name w:val="table of figures"/>
    <w:basedOn w:val="721"/>
    <w:next w:val="721"/>
    <w:uiPriority w:val="99"/>
    <w:unhideWhenUsed/>
    <w:qFormat/>
  </w:style>
  <w:style w:type="paragraph" w:styleId="752">
    <w:name w:val="toc 2"/>
    <w:basedOn w:val="721"/>
    <w:next w:val="721"/>
    <w:uiPriority w:val="39"/>
    <w:unhideWhenUsed/>
    <w:qFormat/>
    <w:pPr>
      <w:ind w:left="283"/>
      <w:spacing w:after="57"/>
    </w:pPr>
  </w:style>
  <w:style w:type="paragraph" w:styleId="753">
    <w:name w:val="toc 9"/>
    <w:basedOn w:val="721"/>
    <w:next w:val="721"/>
    <w:uiPriority w:val="39"/>
    <w:unhideWhenUsed/>
    <w:qFormat/>
    <w:pPr>
      <w:ind w:left="2268"/>
      <w:spacing w:after="57"/>
    </w:pPr>
  </w:style>
  <w:style w:type="paragraph" w:styleId="754">
    <w:name w:val="Body Text 2"/>
    <w:basedOn w:val="721"/>
    <w:uiPriority w:val="0"/>
    <w:qFormat/>
    <w:pPr>
      <w:spacing w:line="240" w:lineRule="exact"/>
      <w:widowControl/>
      <w:tabs>
        <w:tab w:val="left" w:pos="0" w:leader="none"/>
        <w:tab w:val="left" w:pos="993" w:leader="none"/>
        <w:tab w:val="left" w:pos="1134" w:leader="none"/>
      </w:tabs>
    </w:pPr>
    <w:rPr>
      <w:rFonts w:ascii="楷体_GB2312" w:eastAsia="楷体_GB2312"/>
      <w:sz w:val="18"/>
      <w:szCs w:val="20"/>
    </w:rPr>
  </w:style>
  <w:style w:type="paragraph" w:styleId="755">
    <w:name w:val="Normal (Web)"/>
    <w:basedOn w:val="721"/>
    <w:uiPriority w:val="99"/>
    <w:unhideWhenUsed/>
    <w:qFormat/>
    <w:pPr>
      <w:spacing w:before="100" w:beforeAutospacing="1" w:after="100" w:afterAutospacing="1"/>
    </w:pPr>
    <w:rPr>
      <w:rFonts w:ascii="宋体" w:hAnsi="宋体" w:cs="宋体"/>
      <w:sz w:val="24"/>
    </w:rPr>
  </w:style>
  <w:style w:type="paragraph" w:styleId="756">
    <w:name w:val="Title"/>
    <w:basedOn w:val="721"/>
    <w:next w:val="721"/>
    <w:link w:val="816"/>
    <w:uiPriority w:val="10"/>
    <w:qFormat/>
    <w:pPr>
      <w:contextualSpacing/>
      <w:spacing w:before="300" w:after="200"/>
    </w:pPr>
    <w:rPr>
      <w:sz w:val="48"/>
      <w:szCs w:val="48"/>
    </w:rPr>
  </w:style>
  <w:style w:type="paragraph" w:styleId="757">
    <w:name w:val="annotation subject"/>
    <w:basedOn w:val="737"/>
    <w:next w:val="737"/>
    <w:link w:val="939"/>
    <w:uiPriority w:val="99"/>
    <w:semiHidden/>
    <w:unhideWhenUsed/>
    <w:qFormat/>
    <w:rPr>
      <w:b/>
      <w:bCs/>
    </w:rPr>
  </w:style>
  <w:style w:type="paragraph" w:styleId="758">
    <w:name w:val="Body Text First Indent"/>
    <w:basedOn w:val="738"/>
    <w:uiPriority w:val="0"/>
    <w:qFormat/>
    <w:pPr>
      <w:ind w:firstLine="420"/>
    </w:pPr>
    <w:rPr>
      <w:szCs w:val="24"/>
    </w:rPr>
  </w:style>
  <w:style w:type="paragraph" w:styleId="759">
    <w:name w:val="Body Text First Indent 2"/>
    <w:basedOn w:val="739"/>
    <w:uiPriority w:val="0"/>
    <w:qFormat/>
    <w:pPr>
      <w:ind w:left="0" w:firstLine="420"/>
      <w:spacing w:after="0" w:line="360" w:lineRule="auto"/>
    </w:pPr>
    <w:rPr>
      <w:rFonts w:ascii="宋体" w:hAnsi="宋体"/>
      <w:sz w:val="20"/>
    </w:rPr>
  </w:style>
  <w:style w:type="table" w:styleId="760">
    <w:name w:val="Table Grid"/>
    <w:basedOn w:val="7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1">
    <w:name w:val="endnote reference"/>
    <w:basedOn w:val="731"/>
    <w:uiPriority w:val="99"/>
    <w:semiHidden/>
    <w:unhideWhenUsed/>
    <w:qFormat/>
    <w:rPr>
      <w:vertAlign w:val="superscript"/>
    </w:rPr>
  </w:style>
  <w:style w:type="character" w:styleId="762">
    <w:name w:val="FollowedHyperlink"/>
    <w:basedOn w:val="731"/>
    <w:uiPriority w:val="99"/>
    <w:qFormat/>
    <w:rPr>
      <w:color w:val="800080"/>
      <w:u w:val="single"/>
    </w:rPr>
  </w:style>
  <w:style w:type="character" w:styleId="763">
    <w:name w:val="Emphasis"/>
    <w:uiPriority w:val="20"/>
    <w:qFormat/>
    <w:rPr>
      <w:i/>
      <w:iCs/>
    </w:rPr>
  </w:style>
  <w:style w:type="character" w:styleId="764">
    <w:name w:val="Hyperlink"/>
    <w:uiPriority w:val="99"/>
    <w:qFormat/>
    <w:rPr>
      <w:color w:val="0000ff"/>
      <w:u w:val="single"/>
    </w:rPr>
  </w:style>
  <w:style w:type="character" w:styleId="765">
    <w:name w:val="annotation reference"/>
    <w:basedOn w:val="731"/>
    <w:uiPriority w:val="99"/>
    <w:semiHidden/>
    <w:unhideWhenUsed/>
    <w:qFormat/>
    <w:rPr>
      <w:sz w:val="21"/>
      <w:szCs w:val="21"/>
    </w:rPr>
  </w:style>
  <w:style w:type="character" w:styleId="766">
    <w:name w:val="footnote reference"/>
    <w:basedOn w:val="731"/>
    <w:uiPriority w:val="99"/>
    <w:unhideWhenUsed/>
    <w:qFormat/>
    <w:rPr>
      <w:vertAlign w:val="superscript"/>
    </w:rPr>
  </w:style>
  <w:style w:type="paragraph" w:styleId="767" w:customStyle="1">
    <w:name w:val="BodyText"/>
    <w:basedOn w:val="721"/>
    <w:uiPriority w:val="0"/>
    <w:qFormat/>
    <w:pPr>
      <w:spacing w:after="120"/>
    </w:pPr>
  </w:style>
  <w:style w:type="table" w:styleId="768" w:customStyle="1">
    <w:name w:val="无格式表格 11"/>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无格式表格 21"/>
    <w:basedOn w:val="7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customStyle="1">
    <w:name w:val="无格式表格 3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customStyle="1">
    <w:name w:val="无格式表格 4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customStyle="1">
    <w:name w:val="无格式表格 51"/>
    <w:basedOn w:val="73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3" w:customStyle="1">
    <w:name w:val="网格表 1 浅色1"/>
    <w:basedOn w:val="7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4" w:customStyle="1">
    <w:name w:val="网格表 2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网格表 31"/>
    <w:basedOn w:val="7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网格表 41"/>
    <w:basedOn w:val="7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网格表 5 深色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8" w:customStyle="1">
    <w:name w:val="网格表 6 彩色1"/>
    <w:basedOn w:val="7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79" w:customStyle="1">
    <w:name w:val="网格表 7 彩色1"/>
    <w:basedOn w:val="7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0" w:customStyle="1">
    <w:name w:val="清单表 1 浅色1"/>
    <w:basedOn w:val="73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customStyle="1">
    <w:name w:val="清单表 21"/>
    <w:basedOn w:val="7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清单表 3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3" w:customStyle="1">
    <w:name w:val="清单表 41"/>
    <w:basedOn w:val="7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4" w:customStyle="1">
    <w:name w:val="清单表 5 深色1"/>
    <w:basedOn w:val="7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清单表 6 彩色1"/>
    <w:basedOn w:val="73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6" w:customStyle="1">
    <w:name w:val="清单表 7 彩色1"/>
    <w:basedOn w:val="73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87" w:customStyle="1">
    <w:name w:val="TOC 标题1"/>
    <w:uiPriority w:val="39"/>
    <w:unhideWhenUsed/>
    <w:qFormat/>
    <w:rPr>
      <w:rFonts w:ascii="Times New Roman" w:hAnsi="Times New Roman" w:eastAsia="宋体" w:cs="Times New Roman"/>
      <w:lang w:val="en-US" w:eastAsia="zh-CN" w:bidi="ar-SA"/>
    </w:rPr>
  </w:style>
  <w:style w:type="paragraph" w:styleId="788" w:customStyle="1">
    <w:name w:val="首行缩进"/>
    <w:basedOn w:val="721"/>
    <w:uiPriority w:val="99"/>
    <w:qFormat/>
    <w:pPr>
      <w:ind w:firstLine="480"/>
      <w:spacing w:line="360" w:lineRule="auto"/>
    </w:pPr>
    <w:rPr>
      <w:rFonts w:ascii="宋体" w:hAnsi="宋体"/>
      <w:sz w:val="24"/>
    </w:rPr>
  </w:style>
  <w:style w:type="character" w:styleId="789" w:customStyle="1">
    <w:name w:val="Heading 2 Char"/>
    <w:basedOn w:val="731"/>
    <w:uiPriority w:val="9"/>
    <w:qFormat/>
    <w:rPr>
      <w:rFonts w:ascii="Arial" w:hAnsi="Arial" w:eastAsia="Arial" w:cs="Arial"/>
      <w:sz w:val="34"/>
    </w:rPr>
  </w:style>
  <w:style w:type="character" w:styleId="790" w:customStyle="1">
    <w:name w:val="Heading 3 Char"/>
    <w:basedOn w:val="731"/>
    <w:uiPriority w:val="9"/>
    <w:qFormat/>
    <w:rPr>
      <w:rFonts w:ascii="Arial" w:hAnsi="Arial" w:eastAsia="Arial" w:cs="Arial"/>
      <w:sz w:val="30"/>
      <w:szCs w:val="30"/>
    </w:rPr>
  </w:style>
  <w:style w:type="character" w:styleId="791" w:customStyle="1">
    <w:name w:val="Heading 4 Char"/>
    <w:basedOn w:val="731"/>
    <w:uiPriority w:val="9"/>
    <w:qFormat/>
    <w:rPr>
      <w:rFonts w:ascii="Arial" w:hAnsi="Arial" w:eastAsia="Arial" w:cs="Arial"/>
      <w:b/>
      <w:bCs/>
      <w:sz w:val="26"/>
      <w:szCs w:val="26"/>
    </w:rPr>
  </w:style>
  <w:style w:type="character" w:styleId="792" w:customStyle="1">
    <w:name w:val="Heading 5 Char"/>
    <w:basedOn w:val="731"/>
    <w:uiPriority w:val="9"/>
    <w:qFormat/>
    <w:rPr>
      <w:rFonts w:ascii="Arial" w:hAnsi="Arial" w:eastAsia="Arial" w:cs="Arial"/>
      <w:b/>
      <w:bCs/>
      <w:sz w:val="24"/>
      <w:szCs w:val="24"/>
    </w:rPr>
  </w:style>
  <w:style w:type="character" w:styleId="793" w:customStyle="1">
    <w:name w:val="Heading 6 Char"/>
    <w:basedOn w:val="731"/>
    <w:uiPriority w:val="9"/>
    <w:qFormat/>
    <w:rPr>
      <w:rFonts w:ascii="Arial" w:hAnsi="Arial" w:eastAsia="Arial" w:cs="Arial"/>
      <w:b/>
      <w:bCs/>
      <w:sz w:val="22"/>
      <w:szCs w:val="22"/>
    </w:rPr>
  </w:style>
  <w:style w:type="character" w:styleId="794" w:customStyle="1">
    <w:name w:val="Heading 7 Char"/>
    <w:basedOn w:val="731"/>
    <w:uiPriority w:val="9"/>
    <w:qFormat/>
    <w:rPr>
      <w:rFonts w:ascii="Arial" w:hAnsi="Arial" w:eastAsia="Arial" w:cs="Arial"/>
      <w:b/>
      <w:bCs/>
      <w:i/>
      <w:iCs/>
      <w:sz w:val="22"/>
      <w:szCs w:val="22"/>
    </w:rPr>
  </w:style>
  <w:style w:type="character" w:styleId="795" w:customStyle="1">
    <w:name w:val="Heading 8 Char"/>
    <w:basedOn w:val="731"/>
    <w:uiPriority w:val="9"/>
    <w:qFormat/>
    <w:rPr>
      <w:rFonts w:ascii="Arial" w:hAnsi="Arial" w:eastAsia="Arial" w:cs="Arial"/>
      <w:i/>
      <w:iCs/>
      <w:sz w:val="22"/>
      <w:szCs w:val="22"/>
    </w:rPr>
  </w:style>
  <w:style w:type="character" w:styleId="796" w:customStyle="1">
    <w:name w:val="Heading 9 Char"/>
    <w:basedOn w:val="731"/>
    <w:uiPriority w:val="9"/>
    <w:qFormat/>
    <w:rPr>
      <w:rFonts w:ascii="Arial" w:hAnsi="Arial" w:eastAsia="Arial" w:cs="Arial"/>
      <w:i/>
      <w:iCs/>
      <w:sz w:val="21"/>
      <w:szCs w:val="21"/>
    </w:rPr>
  </w:style>
  <w:style w:type="character" w:styleId="797" w:customStyle="1">
    <w:name w:val="Title Char"/>
    <w:basedOn w:val="731"/>
    <w:uiPriority w:val="10"/>
    <w:qFormat/>
    <w:rPr>
      <w:sz w:val="48"/>
      <w:szCs w:val="48"/>
    </w:rPr>
  </w:style>
  <w:style w:type="character" w:styleId="798" w:customStyle="1">
    <w:name w:val="Subtitle Char"/>
    <w:basedOn w:val="731"/>
    <w:uiPriority w:val="11"/>
    <w:qFormat/>
    <w:rPr>
      <w:sz w:val="24"/>
      <w:szCs w:val="24"/>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31"/>
    <w:uiPriority w:val="99"/>
    <w:qFormat/>
  </w:style>
  <w:style w:type="character" w:styleId="802" w:customStyle="1">
    <w:name w:val="Footnote Text Char"/>
    <w:uiPriority w:val="99"/>
    <w:qFormat/>
    <w:rPr>
      <w:sz w:val="18"/>
    </w:rPr>
  </w:style>
  <w:style w:type="character" w:styleId="803" w:customStyle="1">
    <w:name w:val="Endnote Text Char"/>
    <w:uiPriority w:val="99"/>
    <w:qFormat/>
    <w:rPr>
      <w:sz w:val="20"/>
    </w:rPr>
  </w:style>
  <w:style w:type="paragraph" w:styleId="804" w:customStyle="1">
    <w:name w:val="TOC 标题111"/>
    <w:uiPriority w:val="39"/>
    <w:unhideWhenUsed/>
    <w:qFormat/>
    <w:rPr>
      <w:rFonts w:ascii="Times New Roman" w:hAnsi="Times New Roman" w:eastAsia="宋体" w:cs="Times New Roman"/>
      <w:lang w:val="en-US" w:eastAsia="zh-CN" w:bidi="ar-SA"/>
    </w:rPr>
  </w:style>
  <w:style w:type="paragraph" w:styleId="805">
    <w:name w:val="List Paragraph"/>
    <w:basedOn w:val="721"/>
    <w:uiPriority w:val="34"/>
    <w:qFormat/>
    <w:pPr>
      <w:ind w:firstLine="420"/>
    </w:pPr>
  </w:style>
  <w:style w:type="character" w:styleId="806" w:customStyle="1">
    <w:name w:val="Heading 1 Char"/>
    <w:basedOn w:val="731"/>
    <w:uiPriority w:val="9"/>
    <w:qFormat/>
    <w:rPr>
      <w:rFonts w:ascii="Arial" w:hAnsi="Arial" w:eastAsia="Arial" w:cs="Arial"/>
      <w:sz w:val="40"/>
      <w:szCs w:val="40"/>
    </w:rPr>
  </w:style>
  <w:style w:type="character" w:styleId="807" w:customStyle="1">
    <w:name w:val="标题 2 字符"/>
    <w:basedOn w:val="731"/>
    <w:link w:val="723"/>
    <w:uiPriority w:val="9"/>
    <w:qFormat/>
    <w:rPr>
      <w:rFonts w:ascii="Arial" w:hAnsi="Arial" w:eastAsia="Arial" w:cs="Arial"/>
      <w:sz w:val="34"/>
    </w:rPr>
  </w:style>
  <w:style w:type="character" w:styleId="808" w:customStyle="1">
    <w:name w:val="标题 3 字符"/>
    <w:basedOn w:val="731"/>
    <w:link w:val="724"/>
    <w:uiPriority w:val="9"/>
    <w:qFormat/>
    <w:rPr>
      <w:rFonts w:ascii="Arial" w:hAnsi="Arial" w:eastAsia="Arial" w:cs="Arial"/>
      <w:sz w:val="30"/>
      <w:szCs w:val="30"/>
    </w:rPr>
  </w:style>
  <w:style w:type="character" w:styleId="809" w:customStyle="1">
    <w:name w:val="标题 4 字符"/>
    <w:basedOn w:val="731"/>
    <w:link w:val="725"/>
    <w:uiPriority w:val="9"/>
    <w:qFormat/>
    <w:rPr>
      <w:rFonts w:ascii="Arial" w:hAnsi="Arial" w:eastAsia="Arial" w:cs="Arial"/>
      <w:b/>
      <w:bCs/>
      <w:sz w:val="26"/>
      <w:szCs w:val="26"/>
    </w:rPr>
  </w:style>
  <w:style w:type="character" w:styleId="810" w:customStyle="1">
    <w:name w:val="标题 5 字符"/>
    <w:basedOn w:val="731"/>
    <w:link w:val="726"/>
    <w:uiPriority w:val="9"/>
    <w:qFormat/>
    <w:rPr>
      <w:rFonts w:ascii="Arial" w:hAnsi="Arial" w:eastAsia="Arial" w:cs="Arial"/>
      <w:b/>
      <w:bCs/>
      <w:sz w:val="24"/>
      <w:szCs w:val="24"/>
    </w:rPr>
  </w:style>
  <w:style w:type="character" w:styleId="811" w:customStyle="1">
    <w:name w:val="标题 6 字符"/>
    <w:basedOn w:val="731"/>
    <w:link w:val="727"/>
    <w:uiPriority w:val="9"/>
    <w:qFormat/>
    <w:rPr>
      <w:rFonts w:ascii="Arial" w:hAnsi="Arial" w:eastAsia="Arial" w:cs="Arial"/>
      <w:b/>
      <w:bCs/>
      <w:sz w:val="22"/>
      <w:szCs w:val="22"/>
    </w:rPr>
  </w:style>
  <w:style w:type="character" w:styleId="812" w:customStyle="1">
    <w:name w:val="标题 7 字符"/>
    <w:basedOn w:val="731"/>
    <w:link w:val="728"/>
    <w:uiPriority w:val="9"/>
    <w:qFormat/>
    <w:rPr>
      <w:rFonts w:ascii="Arial" w:hAnsi="Arial" w:eastAsia="Arial" w:cs="Arial"/>
      <w:b/>
      <w:bCs/>
      <w:i/>
      <w:iCs/>
      <w:sz w:val="22"/>
      <w:szCs w:val="22"/>
    </w:rPr>
  </w:style>
  <w:style w:type="character" w:styleId="813" w:customStyle="1">
    <w:name w:val="标题 8 字符"/>
    <w:basedOn w:val="731"/>
    <w:link w:val="729"/>
    <w:uiPriority w:val="9"/>
    <w:qFormat/>
    <w:rPr>
      <w:rFonts w:ascii="Arial" w:hAnsi="Arial" w:eastAsia="Arial" w:cs="Arial"/>
      <w:i/>
      <w:iCs/>
      <w:sz w:val="22"/>
      <w:szCs w:val="22"/>
    </w:rPr>
  </w:style>
  <w:style w:type="character" w:styleId="814" w:customStyle="1">
    <w:name w:val="标题 9 字符"/>
    <w:basedOn w:val="731"/>
    <w:link w:val="730"/>
    <w:uiPriority w:val="9"/>
    <w:qFormat/>
    <w:rPr>
      <w:rFonts w:ascii="Arial" w:hAnsi="Arial" w:eastAsia="Arial" w:cs="Arial"/>
      <w:i/>
      <w:iCs/>
      <w:sz w:val="21"/>
      <w:szCs w:val="21"/>
    </w:rPr>
  </w:style>
  <w:style w:type="paragraph" w:styleId="815">
    <w:name w:val="No Spacing"/>
    <w:uiPriority w:val="1"/>
    <w:qFormat/>
    <w:rPr>
      <w:rFonts w:asciiTheme="minorHAnsi" w:hAnsiTheme="minorHAnsi" w:eastAsiaTheme="minorEastAsia" w:cstheme="minorBidi"/>
      <w:lang w:val="en-US" w:eastAsia="zh-CN" w:bidi="ar-SA"/>
    </w:rPr>
  </w:style>
  <w:style w:type="character" w:styleId="816" w:customStyle="1">
    <w:name w:val="标题 字符"/>
    <w:basedOn w:val="731"/>
    <w:link w:val="756"/>
    <w:uiPriority w:val="10"/>
    <w:qFormat/>
    <w:rPr>
      <w:sz w:val="48"/>
      <w:szCs w:val="48"/>
    </w:rPr>
  </w:style>
  <w:style w:type="character" w:styleId="817" w:customStyle="1">
    <w:name w:val="副标题 字符"/>
    <w:basedOn w:val="731"/>
    <w:link w:val="748"/>
    <w:uiPriority w:val="11"/>
    <w:qFormat/>
    <w:rPr>
      <w:sz w:val="24"/>
      <w:szCs w:val="24"/>
    </w:rPr>
  </w:style>
  <w:style w:type="paragraph" w:styleId="818">
    <w:name w:val="Quote"/>
    <w:basedOn w:val="721"/>
    <w:next w:val="721"/>
    <w:link w:val="819"/>
    <w:uiPriority w:val="29"/>
    <w:qFormat/>
    <w:pPr>
      <w:ind w:left="720" w:right="720"/>
    </w:pPr>
    <w:rPr>
      <w:i/>
    </w:rPr>
  </w:style>
  <w:style w:type="character" w:styleId="819" w:customStyle="1">
    <w:name w:val="引用 字符"/>
    <w:link w:val="818"/>
    <w:uiPriority w:val="29"/>
    <w:qFormat/>
    <w:rPr>
      <w:i/>
    </w:rPr>
  </w:style>
  <w:style w:type="paragraph" w:styleId="820">
    <w:name w:val="Intense Quote"/>
    <w:basedOn w:val="721"/>
    <w:next w:val="721"/>
    <w:link w:val="8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明显引用 字符"/>
    <w:link w:val="820"/>
    <w:uiPriority w:val="30"/>
    <w:qFormat/>
    <w:rPr>
      <w:i/>
    </w:rPr>
  </w:style>
  <w:style w:type="character" w:styleId="822" w:customStyle="1">
    <w:name w:val="页眉 字符"/>
    <w:basedOn w:val="731"/>
    <w:link w:val="745"/>
    <w:uiPriority w:val="99"/>
    <w:qFormat/>
  </w:style>
  <w:style w:type="character" w:styleId="823" w:customStyle="1">
    <w:name w:val="Footer Char"/>
    <w:basedOn w:val="731"/>
    <w:uiPriority w:val="99"/>
    <w:qFormat/>
  </w:style>
  <w:style w:type="character" w:styleId="824" w:customStyle="1">
    <w:name w:val="Caption Char"/>
    <w:uiPriority w:val="99"/>
    <w:qFormat/>
  </w:style>
  <w:style w:type="table" w:styleId="825" w:customStyle="1">
    <w:name w:val="Table Grid Light"/>
    <w:basedOn w:val="7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6" w:customStyle="1">
    <w:name w:val="Grid Table 1 Light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3" w:customStyle="1">
    <w:name w:val="Grid Table 2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4" w:customStyle="1">
    <w:name w:val="Grid Table 2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5" w:customStyle="1">
    <w:name w:val="Grid Table 2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6" w:customStyle="1">
    <w:name w:val="Grid Table 2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7" w:customStyle="1">
    <w:name w:val="Grid Table 2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38" w:customStyle="1">
    <w:name w:val="Grid Table 3 - Accent 1"/>
    <w:basedOn w:val="732"/>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2"/>
    <w:basedOn w:val="73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3"/>
    <w:basedOn w:val="732"/>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4"/>
    <w:basedOn w:val="732"/>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5"/>
    <w:basedOn w:val="732"/>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6"/>
    <w:basedOn w:val="732"/>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4 - Accent 1"/>
    <w:basedOn w:val="732"/>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5" w:customStyle="1">
    <w:name w:val="Grid Table 4 - Accent 2"/>
    <w:basedOn w:val="73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46" w:customStyle="1">
    <w:name w:val="Grid Table 4 - Accent 3"/>
    <w:basedOn w:val="732"/>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47" w:customStyle="1">
    <w:name w:val="Grid Table 4 - Accent 4"/>
    <w:basedOn w:val="732"/>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48" w:customStyle="1">
    <w:name w:val="Grid Table 4 - Accent 5"/>
    <w:basedOn w:val="732"/>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49" w:customStyle="1">
    <w:name w:val="Grid Table 4 - Accent 6"/>
    <w:basedOn w:val="732"/>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0" w:customStyle="1">
    <w:name w:val="Grid Table 5 Dark- Accent 1"/>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1" w:customStyle="1">
    <w:name w:val="Grid Table 5 Dark - Accent 2"/>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2" w:customStyle="1">
    <w:name w:val="Grid Table 5 Dark - Accent 3"/>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3" w:customStyle="1">
    <w:name w:val="Grid Table 5 Dark- Accent 4"/>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4" w:customStyle="1">
    <w:name w:val="Grid Table 5 Dark - Accent 5"/>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55" w:customStyle="1">
    <w:name w:val="Grid Table 5 Dark - Accent 6"/>
    <w:basedOn w:val="7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56" w:customStyle="1">
    <w:name w:val="Grid Table 6 Colorful - Accent 1"/>
    <w:basedOn w:val="732"/>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32"/>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59" w:customStyle="1">
    <w:name w:val="Grid Table 6 Colorful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32"/>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1" w:customStyle="1">
    <w:name w:val="Grid Table 6 Colorful - Accent 6"/>
    <w:basedOn w:val="732"/>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2" w:customStyle="1">
    <w:name w:val="Grid Table 7 Colorful - Accent 1"/>
    <w:basedOn w:val="732"/>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63" w:customStyle="1">
    <w:name w:val="Grid Table 7 Colorful - Accent 2"/>
    <w:basedOn w:val="73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64" w:customStyle="1">
    <w:name w:val="Grid Table 7 Colorful - Accent 3"/>
    <w:basedOn w:val="732"/>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65" w:customStyle="1">
    <w:name w:val="Grid Table 7 Colorful - Accent 4"/>
    <w:basedOn w:val="732"/>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66" w:customStyle="1">
    <w:name w:val="Grid Table 7 Colorful - Accent 5"/>
    <w:basedOn w:val="732"/>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67" w:customStyle="1">
    <w:name w:val="Grid Table 7 Colorful - Accent 6"/>
    <w:basedOn w:val="732"/>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68" w:customStyle="1">
    <w:name w:val="List Table 1 Light - Accent 1"/>
    <w:basedOn w:val="732"/>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1 Light - Accent 2"/>
    <w:basedOn w:val="732"/>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0" w:customStyle="1">
    <w:name w:val="List Table 1 Light - Accent 3"/>
    <w:basedOn w:val="732"/>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1" w:customStyle="1">
    <w:name w:val="List Table 1 Light - Accent 4"/>
    <w:basedOn w:val="732"/>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72" w:customStyle="1">
    <w:name w:val="List Table 1 Light - Accent 5"/>
    <w:basedOn w:val="732"/>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73" w:customStyle="1">
    <w:name w:val="List Table 1 Light - Accent 6"/>
    <w:basedOn w:val="732"/>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74" w:customStyle="1">
    <w:name w:val="List Table 2 - Accent 1"/>
    <w:basedOn w:val="732"/>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75" w:customStyle="1">
    <w:name w:val="List Table 2 - Accent 2"/>
    <w:basedOn w:val="73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76" w:customStyle="1">
    <w:name w:val="List Table 2 - Accent 3"/>
    <w:basedOn w:val="732"/>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77" w:customStyle="1">
    <w:name w:val="List Table 2 - Accent 4"/>
    <w:basedOn w:val="732"/>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78" w:customStyle="1">
    <w:name w:val="List Table 2 - Accent 5"/>
    <w:basedOn w:val="732"/>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79" w:customStyle="1">
    <w:name w:val="List Table 2 - Accent 6"/>
    <w:basedOn w:val="732"/>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0" w:customStyle="1">
    <w:name w:val="List Table 3 - Accent 1"/>
    <w:basedOn w:val="732"/>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1" w:customStyle="1">
    <w:name w:val="List Table 3 - Accent 2"/>
    <w:basedOn w:val="73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32"/>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32"/>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32"/>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32"/>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86" w:customStyle="1">
    <w:name w:val="List Table 4 - Accent 1"/>
    <w:basedOn w:val="732"/>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87" w:customStyle="1">
    <w:name w:val="List Table 4 - Accent 2"/>
    <w:basedOn w:val="73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88" w:customStyle="1">
    <w:name w:val="List Table 4 - Accent 3"/>
    <w:basedOn w:val="732"/>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9" w:customStyle="1">
    <w:name w:val="List Table 4 - Accent 4"/>
    <w:basedOn w:val="732"/>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90" w:customStyle="1">
    <w:name w:val="List Table 4 - Accent 5"/>
    <w:basedOn w:val="732"/>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91" w:customStyle="1">
    <w:name w:val="List Table 4 - Accent 6"/>
    <w:basedOn w:val="732"/>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92" w:customStyle="1">
    <w:name w:val="List Table 5 Dark - Accent 1"/>
    <w:basedOn w:val="732"/>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basedOn w:val="73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basedOn w:val="732"/>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basedOn w:val="732"/>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basedOn w:val="732"/>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basedOn w:val="732"/>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 Accent 1"/>
    <w:basedOn w:val="732"/>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99" w:customStyle="1">
    <w:name w:val="List Table 6 Colorful - Accent 2"/>
    <w:basedOn w:val="732"/>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00" w:customStyle="1">
    <w:name w:val="List Table 6 Colorful - Accent 3"/>
    <w:basedOn w:val="732"/>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01" w:customStyle="1">
    <w:name w:val="List Table 6 Colorful - Accent 4"/>
    <w:basedOn w:val="732"/>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02" w:customStyle="1">
    <w:name w:val="List Table 6 Colorful - Accent 5"/>
    <w:basedOn w:val="732"/>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03" w:customStyle="1">
    <w:name w:val="List Table 6 Colorful - Accent 6"/>
    <w:basedOn w:val="732"/>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04" w:customStyle="1">
    <w:name w:val="List Table 7 Colorful - Accent 1"/>
    <w:basedOn w:val="732"/>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05" w:customStyle="1">
    <w:name w:val="List Table 7 Colorful - Accent 2"/>
    <w:basedOn w:val="732"/>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6" w:customStyle="1">
    <w:name w:val="List Table 7 Colorful - Accent 3"/>
    <w:basedOn w:val="732"/>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7" w:customStyle="1">
    <w:name w:val="List Table 7 Colorful - Accent 4"/>
    <w:basedOn w:val="732"/>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8" w:customStyle="1">
    <w:name w:val="List Table 7 Colorful - Accent 5"/>
    <w:basedOn w:val="732"/>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09" w:customStyle="1">
    <w:name w:val="List Table 7 Colorful - Accent 6"/>
    <w:basedOn w:val="732"/>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10" w:customStyle="1">
    <w:name w:val="Lined - Accent"/>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1" w:customStyle="1">
    <w:name w:val="Lined - Accent 1"/>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2" w:customStyle="1">
    <w:name w:val="Lined - Accent 2"/>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3" w:customStyle="1">
    <w:name w:val="Lined - Accent 3"/>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4" w:customStyle="1">
    <w:name w:val="Lined - Accent 4"/>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5" w:customStyle="1">
    <w:name w:val="Lined - Accent 5"/>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16" w:customStyle="1">
    <w:name w:val="Lined - Accent 6"/>
    <w:basedOn w:val="73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7" w:customStyle="1">
    <w:name w:val="Bordered &amp; Lined - Accent"/>
    <w:basedOn w:val="7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8" w:customStyle="1">
    <w:name w:val="Bordered &amp; Lined - Accent 1"/>
    <w:basedOn w:val="732"/>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19" w:customStyle="1">
    <w:name w:val="Bordered &amp; Lined - Accent 2"/>
    <w:basedOn w:val="73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0" w:customStyle="1">
    <w:name w:val="Bordered &amp; Lined - Accent 3"/>
    <w:basedOn w:val="732"/>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1" w:customStyle="1">
    <w:name w:val="Bordered &amp; Lined - Accent 4"/>
    <w:basedOn w:val="732"/>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2" w:customStyle="1">
    <w:name w:val="Bordered &amp; Lined - Accent 5"/>
    <w:basedOn w:val="732"/>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23" w:customStyle="1">
    <w:name w:val="Bordered &amp; Lined - Accent 6"/>
    <w:basedOn w:val="732"/>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24" w:customStyle="1">
    <w:name w:val="Bordered"/>
    <w:basedOn w:val="7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5" w:customStyle="1">
    <w:name w:val="Bordered - Accent 1"/>
    <w:basedOn w:val="732"/>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26" w:customStyle="1">
    <w:name w:val="Bordered - Accent 2"/>
    <w:basedOn w:val="73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7" w:customStyle="1">
    <w:name w:val="Bordered - Accent 3"/>
    <w:basedOn w:val="732"/>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8" w:customStyle="1">
    <w:name w:val="Bordered - Accent 4"/>
    <w:basedOn w:val="732"/>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9" w:customStyle="1">
    <w:name w:val="Bordered - Accent 5"/>
    <w:basedOn w:val="732"/>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30" w:customStyle="1">
    <w:name w:val="Bordered - Accent 6"/>
    <w:basedOn w:val="732"/>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31" w:customStyle="1">
    <w:name w:val="脚注文本 字符"/>
    <w:link w:val="749"/>
    <w:uiPriority w:val="99"/>
    <w:qFormat/>
    <w:rPr>
      <w:sz w:val="18"/>
    </w:rPr>
  </w:style>
  <w:style w:type="character" w:styleId="932" w:customStyle="1">
    <w:name w:val="尾注文本 字符"/>
    <w:link w:val="743"/>
    <w:uiPriority w:val="99"/>
    <w:qFormat/>
    <w:rPr>
      <w:sz w:val="20"/>
    </w:rPr>
  </w:style>
  <w:style w:type="paragraph" w:styleId="933" w:customStyle="1">
    <w:name w:val="TOC 标题11"/>
    <w:uiPriority w:val="39"/>
    <w:unhideWhenUsed/>
    <w:qFormat/>
    <w:rPr>
      <w:rFonts w:asciiTheme="minorHAnsi" w:hAnsiTheme="minorHAnsi" w:eastAsiaTheme="minorEastAsia" w:cstheme="minorBidi"/>
      <w:lang w:val="en-US" w:eastAsia="zh-CN" w:bidi="ar-SA"/>
    </w:rPr>
  </w:style>
  <w:style w:type="character" w:styleId="934" w:customStyle="1">
    <w:name w:val="font41"/>
    <w:basedOn w:val="731"/>
    <w:uiPriority w:val="0"/>
    <w:qFormat/>
    <w:rPr>
      <w:rFonts w:hint="eastAsia" w:ascii="宋体" w:hAnsi="宋体" w:eastAsia="宋体" w:cs="宋体"/>
      <w:color w:val="2c42ea"/>
      <w:sz w:val="22"/>
      <w:szCs w:val="22"/>
      <w:u w:val="none"/>
    </w:rPr>
  </w:style>
  <w:style w:type="paragraph" w:styleId="935" w:customStyle="1">
    <w:name w:val="Table Paragraph"/>
    <w:basedOn w:val="721"/>
    <w:uiPriority w:val="1"/>
    <w:qFormat/>
  </w:style>
  <w:style w:type="paragraph" w:styleId="936"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937" w:customStyle="1">
    <w:name w:val="正文_4_0_0"/>
    <w:uiPriority w:val="0"/>
    <w:qFormat/>
    <w:pPr>
      <w:jc w:val="both"/>
      <w:widowControl w:val="off"/>
    </w:pPr>
    <w:rPr>
      <w:rFonts w:ascii="Times New Roman" w:hAnsi="Times New Roman" w:eastAsia="宋体" w:cs="Times New Roman"/>
      <w:sz w:val="21"/>
      <w:lang w:val="en-US" w:eastAsia="zh-CN" w:bidi="ar-SA"/>
    </w:rPr>
  </w:style>
  <w:style w:type="character" w:styleId="938" w:customStyle="1">
    <w:name w:val="批注文字 字符"/>
    <w:basedOn w:val="731"/>
    <w:link w:val="737"/>
    <w:uiPriority w:val="99"/>
    <w:qFormat/>
    <w:rPr>
      <w:rFonts w:asciiTheme="minorHAnsi" w:hAnsiTheme="minorHAnsi" w:eastAsiaTheme="minorEastAsia" w:cstheme="minorBidi"/>
      <w:sz w:val="21"/>
      <w:szCs w:val="24"/>
    </w:rPr>
  </w:style>
  <w:style w:type="character" w:styleId="939" w:customStyle="1">
    <w:name w:val="批注主题 字符"/>
    <w:basedOn w:val="938"/>
    <w:link w:val="757"/>
    <w:uiPriority w:val="99"/>
    <w:semiHidden/>
    <w:qFormat/>
    <w:rPr>
      <w:rFonts w:asciiTheme="minorHAnsi" w:hAnsiTheme="minorHAnsi" w:eastAsiaTheme="minorEastAsia" w:cstheme="minorBidi"/>
      <w:b/>
      <w:bCs/>
      <w:sz w:val="21"/>
      <w:szCs w:val="24"/>
    </w:rPr>
  </w:style>
  <w:style w:type="paragraph" w:styleId="940" w:customStyle="1">
    <w:name w:val="正文文本1"/>
    <w:basedOn w:val="941"/>
    <w:next w:val="721"/>
    <w:uiPriority w:val="0"/>
    <w:qFormat/>
    <w:pPr>
      <w:spacing w:after="120"/>
    </w:pPr>
    <w:rPr>
      <w:sz w:val="28"/>
    </w:rPr>
  </w:style>
  <w:style w:type="paragraph" w:styleId="941" w:customStyle="1">
    <w:name w:val="正文1"/>
    <w:next w:val="940"/>
    <w:uiPriority w:val="0"/>
    <w:qFormat/>
    <w:pPr>
      <w:jc w:val="both"/>
      <w:widowControl w:val="off"/>
    </w:pPr>
    <w:rPr>
      <w:rFonts w:ascii="Calibri" w:hAnsi="Calibri" w:eastAsia="宋体" w:cs="Times New Roman"/>
      <w:sz w:val="21"/>
      <w:szCs w:val="22"/>
      <w:lang w:val="en-US" w:eastAsia="zh-CN" w:bidi="ar-SA"/>
    </w:rPr>
  </w:style>
  <w:style w:type="character" w:styleId="942" w:customStyle="1">
    <w:name w:val="22 C"/>
    <w:uiPriority w:val="0"/>
    <w:qFormat/>
    <w:rPr>
      <w:rFonts w:ascii="Arial" w:hAnsi="Arial" w:eastAsia="黑体"/>
      <w:b/>
      <w:color w:val="000000"/>
      <w:sz w:val="30"/>
      <w:lang w:val="en-US" w:eastAsia="zh-CN"/>
    </w:rPr>
  </w:style>
  <w:style w:type="table" w:styleId="943" w:customStyle="1">
    <w:name w:val="Table Normal"/>
    <w:uiPriority w:val="0"/>
    <w:qFormat/>
    <w:tblPr>
      <w:tblCellMar>
        <w:left w:w="0" w:type="dxa"/>
        <w:top w:w="0" w:type="dxa"/>
        <w:right w:w="0" w:type="dxa"/>
        <w:bottom w:w="0" w:type="dxa"/>
      </w:tblCellMar>
    </w:tblPr>
  </w:style>
  <w:style w:type="character" w:styleId="944" w:customStyle="1">
    <w:name w:val="style4"/>
    <w:uiPriority w:val="0"/>
    <w:qFormat/>
  </w:style>
  <w:style w:type="paragraph" w:styleId="945" w:customStyle="1">
    <w:name w:val="Table Text"/>
    <w:basedOn w:val="721"/>
    <w:uiPriority w:val="0"/>
    <w:semiHidden/>
    <w:qFormat/>
    <w:rPr>
      <w:rFonts w:ascii="宋体" w:hAnsi="宋体" w:eastAsia="宋体" w:cs="宋体"/>
      <w:szCs w:val="21"/>
      <w:lang w:eastAsia="en-US"/>
    </w:rPr>
  </w:style>
  <w:style w:type="character" w:styleId="946" w:customStyle="1">
    <w:name w:val="页脚 字符"/>
    <w:basedOn w:val="731"/>
    <w:link w:val="744"/>
    <w:uiPriority w:val="99"/>
    <w:qFormat/>
    <w:rPr>
      <w:rFonts w:asciiTheme="minorHAnsi" w:hAnsiTheme="minorHAnsi" w:eastAsiaTheme="minorEastAsia" w:cstheme="minorBidi"/>
      <w:sz w:val="18"/>
      <w:szCs w:val="24"/>
    </w:rPr>
  </w:style>
  <w:style w:type="paragraph" w:styleId="947" w:customStyle="1">
    <w:name w:val="☆ 正文"/>
    <w:basedOn w:val="721"/>
    <w:uiPriority w:val="0"/>
    <w:qFormat/>
    <w:rPr>
      <w:rFonts w:eastAsia="宋体" w:cs="Times New Roman"/>
      <w:szCs w:val="22"/>
    </w:rPr>
  </w:style>
  <w:style w:type="paragraph" w:styleId="948" w:customStyle="1">
    <w:name w:val="普通正文"/>
    <w:basedOn w:val="721"/>
    <w:uiPriority w:val="0"/>
    <w:qFormat/>
    <w:pPr>
      <w:ind w:firstLine="480"/>
      <w:jc w:val="left"/>
      <w:spacing w:before="120" w:after="120" w:line="360" w:lineRule="auto"/>
    </w:pPr>
    <w:rPr>
      <w:rFonts w:ascii="Arial" w:hAnsi="Arial" w:eastAsia="宋体" w:cs="Times New Roman"/>
      <w:sz w:val="24"/>
    </w:rPr>
  </w:style>
  <w:style w:type="paragraph" w:styleId="949" w:customStyle="1">
    <w:name w:val="msonormal"/>
    <w:basedOn w:val="721"/>
    <w:uiPriority w:val="0"/>
    <w:qFormat/>
    <w:pPr>
      <w:jc w:val="left"/>
      <w:spacing w:before="100" w:beforeAutospacing="1" w:after="100" w:afterAutospacing="1"/>
      <w:widowControl/>
    </w:pPr>
    <w:rPr>
      <w:rFonts w:ascii="宋体" w:hAnsi="宋体" w:eastAsia="宋体" w:cs="宋体"/>
      <w:sz w:val="24"/>
    </w:rPr>
  </w:style>
  <w:style w:type="paragraph" w:styleId="950" w:customStyle="1">
    <w:name w:val="font5"/>
    <w:basedOn w:val="721"/>
    <w:uiPriority w:val="0"/>
    <w:qFormat/>
    <w:pPr>
      <w:jc w:val="left"/>
      <w:spacing w:before="100" w:beforeAutospacing="1" w:after="100" w:afterAutospacing="1"/>
      <w:widowControl/>
    </w:pPr>
    <w:rPr>
      <w:rFonts w:ascii="等线" w:hAnsi="等线" w:eastAsia="等线" w:cs="宋体"/>
      <w:sz w:val="18"/>
      <w:szCs w:val="18"/>
    </w:rPr>
  </w:style>
  <w:style w:type="paragraph" w:styleId="951" w:customStyle="1">
    <w:name w:val="font6"/>
    <w:basedOn w:val="721"/>
    <w:uiPriority w:val="0"/>
    <w:qFormat/>
    <w:pPr>
      <w:jc w:val="left"/>
      <w:spacing w:before="100" w:beforeAutospacing="1" w:after="100" w:afterAutospacing="1"/>
      <w:widowControl/>
    </w:pPr>
    <w:rPr>
      <w:rFonts w:ascii="宋体" w:hAnsi="宋体" w:eastAsia="宋体" w:cs="宋体"/>
      <w:color w:val="000000"/>
      <w:sz w:val="22"/>
      <w:szCs w:val="22"/>
    </w:rPr>
  </w:style>
  <w:style w:type="paragraph" w:styleId="952" w:customStyle="1">
    <w:name w:val="font7"/>
    <w:basedOn w:val="721"/>
    <w:uiPriority w:val="0"/>
    <w:qFormat/>
    <w:pPr>
      <w:jc w:val="left"/>
      <w:spacing w:before="100" w:beforeAutospacing="1" w:after="100" w:afterAutospacing="1"/>
      <w:widowControl/>
    </w:pPr>
    <w:rPr>
      <w:rFonts w:ascii="宋体" w:hAnsi="宋体" w:eastAsia="宋体" w:cs="宋体"/>
      <w:color w:val="000000"/>
      <w:sz w:val="22"/>
      <w:szCs w:val="22"/>
      <w:u w:val="single"/>
    </w:rPr>
  </w:style>
  <w:style w:type="paragraph" w:styleId="953" w:customStyle="1">
    <w:name w:val="xl64"/>
    <w:basedOn w:val="721"/>
    <w:uiPriority w:val="0"/>
    <w:qFormat/>
    <w:pPr>
      <w:jc w:val="center"/>
      <w:spacing w:before="100" w:beforeAutospacing="1" w:after="100" w:afterAutospacing="1"/>
      <w:shd w:val="clear" w:color="000000" w:fill="ffffff"/>
      <w:widowControl/>
      <w:pBdr>
        <w:top w:val="single" w:color="000000" w:sz="8" w:space="0"/>
        <w:right w:val="single" w:color="000000" w:sz="8" w:space="0"/>
      </w:pBdr>
    </w:pPr>
    <w:rPr>
      <w:rFonts w:ascii="宋体" w:hAnsi="宋体" w:eastAsia="宋体" w:cs="宋体"/>
      <w:b/>
      <w:bCs/>
      <w:color w:val="0000ff"/>
      <w:sz w:val="24"/>
    </w:rPr>
  </w:style>
  <w:style w:type="paragraph" w:styleId="954" w:customStyle="1">
    <w:name w:val="xl65"/>
    <w:basedOn w:val="72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ff"/>
      <w:sz w:val="24"/>
    </w:rPr>
  </w:style>
  <w:style w:type="paragraph" w:styleId="955" w:customStyle="1">
    <w:name w:val="xl66"/>
    <w:basedOn w:val="721"/>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56" w:customStyle="1">
    <w:name w:val="xl67"/>
    <w:basedOn w:val="721"/>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color w:val="000000"/>
      <w:sz w:val="24"/>
    </w:rPr>
  </w:style>
  <w:style w:type="paragraph" w:styleId="957" w:customStyle="1">
    <w:name w:val="xl68"/>
    <w:basedOn w:val="721"/>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58" w:customStyle="1">
    <w:name w:val="xl69"/>
    <w:basedOn w:val="72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59" w:customStyle="1">
    <w:name w:val="xl70"/>
    <w:basedOn w:val="72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60" w:customStyle="1">
    <w:name w:val="xl71"/>
    <w:basedOn w:val="721"/>
    <w:uiPriority w:val="0"/>
    <w:qFormat/>
    <w:pPr>
      <w:jc w:val="center"/>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61" w:customStyle="1">
    <w:name w:val="xl72"/>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62" w:customStyle="1">
    <w:name w:val="xl73"/>
    <w:basedOn w:val="72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3" w:customStyle="1">
    <w:name w:val="xl74"/>
    <w:basedOn w:val="721"/>
    <w:uiPriority w:val="0"/>
    <w:qFormat/>
    <w:pP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color w:val="000000"/>
      <w:sz w:val="24"/>
    </w:rPr>
  </w:style>
  <w:style w:type="paragraph" w:styleId="964" w:customStyle="1">
    <w:name w:val="xl75"/>
    <w:basedOn w:val="721"/>
    <w:uiPriority w:val="0"/>
    <w:qFormat/>
    <w:pPr>
      <w:jc w:val="center"/>
      <w:spacing w:before="100" w:beforeAutospacing="1" w:after="100" w:afterAutospacing="1"/>
      <w:shd w:val="clear" w:color="000000" w:fill="ffffff"/>
      <w:widowControl/>
      <w:pBdr>
        <w:right w:val="single" w:color="000000" w:sz="8" w:space="0"/>
      </w:pBdr>
    </w:pPr>
    <w:rPr>
      <w:rFonts w:ascii="宋体" w:hAnsi="宋体" w:eastAsia="宋体" w:cs="宋体"/>
      <w:b/>
      <w:bCs/>
      <w:color w:val="000000"/>
      <w:sz w:val="24"/>
    </w:rPr>
  </w:style>
  <w:style w:type="paragraph" w:styleId="965" w:customStyle="1">
    <w:name w:val="xl76"/>
    <w:basedOn w:val="721"/>
    <w:uiPriority w:val="0"/>
    <w:qFormat/>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eastAsia="宋体" w:cs="宋体"/>
      <w:b/>
      <w:bCs/>
      <w:color w:val="000000"/>
      <w:sz w:val="24"/>
    </w:rPr>
  </w:style>
  <w:style w:type="paragraph" w:styleId="966" w:customStyle="1">
    <w:name w:val="xl77"/>
    <w:basedOn w:val="721"/>
    <w:uiPriority w:val="0"/>
    <w:qFormat/>
    <w:pPr>
      <w:spacing w:before="100" w:beforeAutospacing="1" w:after="100" w:afterAutospacing="1"/>
      <w:widowControl/>
      <w:pBdr>
        <w:bottom w:val="single" w:color="000000" w:sz="8" w:space="0"/>
        <w:right w:val="single" w:color="000000" w:sz="8" w:space="0"/>
      </w:pBdr>
    </w:pPr>
    <w:rPr>
      <w:rFonts w:ascii="宋体" w:hAnsi="宋体" w:eastAsia="宋体" w:cs="宋体"/>
      <w:color w:val="000000"/>
      <w:sz w:val="24"/>
    </w:rPr>
  </w:style>
  <w:style w:type="paragraph" w:styleId="967" w:customStyle="1">
    <w:name w:val="xl78"/>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4"/>
    </w:rPr>
  </w:style>
  <w:style w:type="paragraph" w:styleId="968" w:customStyle="1">
    <w:name w:val="xl79"/>
    <w:basedOn w:val="72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69" w:customStyle="1">
    <w:name w:val="xl80"/>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00"/>
      <w:sz w:val="20"/>
      <w:szCs w:val="20"/>
    </w:rPr>
  </w:style>
  <w:style w:type="paragraph" w:styleId="970" w:customStyle="1">
    <w:name w:val="xl81"/>
    <w:basedOn w:val="72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00"/>
      <w:sz w:val="20"/>
      <w:szCs w:val="20"/>
    </w:rPr>
  </w:style>
  <w:style w:type="paragraph" w:styleId="971" w:customStyle="1">
    <w:name w:val="xl82"/>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b/>
      <w:bCs/>
      <w:color w:val="0000ff"/>
      <w:sz w:val="24"/>
    </w:rPr>
  </w:style>
  <w:style w:type="paragraph" w:styleId="972" w:customStyle="1">
    <w:name w:val="xl83"/>
    <w:basedOn w:val="721"/>
    <w:uiPriority w:val="0"/>
    <w:qFormat/>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73" w:customStyle="1">
    <w:name w:val="xl84"/>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74" w:customStyle="1">
    <w:name w:val="xl85"/>
    <w:basedOn w:val="721"/>
    <w:uiPriority w:val="0"/>
    <w:qFormat/>
    <w:pPr>
      <w:jc w:val="left"/>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75" w:customStyle="1">
    <w:name w:val="xl86"/>
    <w:basedOn w:val="721"/>
    <w:uiPriority w:val="0"/>
    <w:qFormat/>
    <w:pPr>
      <w:jc w:val="left"/>
      <w:spacing w:before="100" w:beforeAutospacing="1" w:after="100" w:afterAutospacing="1"/>
      <w:shd w:val="clear" w:color="000000" w:fill="ffffff"/>
      <w:widowControl/>
      <w:pBdr>
        <w:left w:val="single" w:color="000000" w:sz="8" w:space="0"/>
        <w:right w:val="single" w:color="000000" w:sz="8" w:space="0"/>
      </w:pBdr>
    </w:pPr>
    <w:rPr>
      <w:rFonts w:ascii="宋体" w:hAnsi="宋体" w:eastAsia="宋体" w:cs="宋体"/>
      <w:color w:val="000000"/>
      <w:sz w:val="24"/>
    </w:rPr>
  </w:style>
  <w:style w:type="paragraph" w:styleId="976" w:customStyle="1">
    <w:name w:val="xl87"/>
    <w:basedOn w:val="721"/>
    <w:uiPriority w:val="0"/>
    <w:qFormat/>
    <w:pPr>
      <w:jc w:val="left"/>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77" w:customStyle="1">
    <w:name w:val="xl88"/>
    <w:basedOn w:val="721"/>
    <w:uiPriority w:val="0"/>
    <w:qFormat/>
    <w:pPr>
      <w:spacing w:before="100" w:beforeAutospacing="1" w:after="100" w:afterAutospacing="1"/>
      <w:shd w:val="clear" w:color="000000" w:fill="ffffff"/>
      <w:widowControl/>
      <w:pBdr>
        <w:top w:val="single" w:color="000000" w:sz="8" w:space="0"/>
        <w:left w:val="single" w:color="000000" w:sz="8" w:space="0"/>
        <w:right w:val="single" w:color="000000" w:sz="8" w:space="0"/>
      </w:pBdr>
    </w:pPr>
    <w:rPr>
      <w:rFonts w:ascii="宋体" w:hAnsi="宋体" w:eastAsia="宋体" w:cs="宋体"/>
      <w:color w:val="000000"/>
      <w:sz w:val="24"/>
    </w:rPr>
  </w:style>
  <w:style w:type="paragraph" w:styleId="978" w:customStyle="1">
    <w:name w:val="xl89"/>
    <w:basedOn w:val="721"/>
    <w:uiPriority w:val="0"/>
    <w:qFormat/>
    <w:pP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eastAsia="宋体" w:cs="宋体"/>
      <w:color w:val="000000"/>
      <w:sz w:val="24"/>
    </w:rPr>
  </w:style>
  <w:style w:type="paragraph" w:styleId="979" w:customStyle="1">
    <w:name w:val="xl90"/>
    <w:basedOn w:val="721"/>
    <w:uiPriority w:val="0"/>
    <w:qFormat/>
    <w:pPr>
      <w:jc w:val="center"/>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80" w:customStyle="1">
    <w:name w:val="xl91"/>
    <w:basedOn w:val="721"/>
    <w:uiPriority w:val="0"/>
    <w:qFormat/>
    <w:pPr>
      <w:jc w:val="center"/>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color w:val="000000"/>
      <w:sz w:val="24"/>
    </w:rPr>
  </w:style>
  <w:style w:type="paragraph" w:styleId="981" w:customStyle="1">
    <w:name w:val="xl92"/>
    <w:basedOn w:val="721"/>
    <w:uiPriority w:val="0"/>
    <w:qFormat/>
    <w:pPr>
      <w:jc w:val="center"/>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82" w:customStyle="1">
    <w:name w:val="xl93"/>
    <w:basedOn w:val="721"/>
    <w:uiPriority w:val="0"/>
    <w:qFormat/>
    <w:pPr>
      <w:jc w:val="left"/>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83" w:customStyle="1">
    <w:name w:val="xl94"/>
    <w:basedOn w:val="721"/>
    <w:uiPriority w:val="0"/>
    <w:qFormat/>
    <w:pPr>
      <w:jc w:val="left"/>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84" w:customStyle="1">
    <w:name w:val="xl95"/>
    <w:basedOn w:val="721"/>
    <w:uiPriority w:val="0"/>
    <w:qFormat/>
    <w:pPr>
      <w:jc w:val="left"/>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85" w:customStyle="1">
    <w:name w:val="xl96"/>
    <w:basedOn w:val="721"/>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b/>
      <w:bCs/>
      <w:color w:val="000000"/>
      <w:sz w:val="24"/>
    </w:rPr>
  </w:style>
  <w:style w:type="paragraph" w:styleId="986" w:customStyle="1">
    <w:name w:val="xl97"/>
    <w:basedOn w:val="721"/>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b/>
      <w:bCs/>
      <w:color w:val="000000"/>
      <w:sz w:val="24"/>
    </w:rPr>
  </w:style>
  <w:style w:type="paragraph" w:styleId="987" w:customStyle="1">
    <w:name w:val="xl98"/>
    <w:basedOn w:val="721"/>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b/>
      <w:bCs/>
      <w:color w:val="000000"/>
      <w:sz w:val="24"/>
    </w:rPr>
  </w:style>
  <w:style w:type="paragraph" w:styleId="988" w:customStyle="1">
    <w:name w:val="xl99"/>
    <w:basedOn w:val="721"/>
    <w:uiPriority w:val="0"/>
    <w:qFormat/>
    <w:pPr>
      <w:jc w:val="cente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color w:val="000000"/>
      <w:sz w:val="24"/>
    </w:rPr>
  </w:style>
  <w:style w:type="paragraph" w:styleId="989" w:customStyle="1">
    <w:name w:val="xl100"/>
    <w:basedOn w:val="721"/>
    <w:uiPriority w:val="0"/>
    <w:qFormat/>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color w:val="000000"/>
      <w:sz w:val="24"/>
    </w:rPr>
  </w:style>
  <w:style w:type="paragraph" w:styleId="990" w:customStyle="1">
    <w:name w:val="xl101"/>
    <w:basedOn w:val="721"/>
    <w:uiPriority w:val="0"/>
    <w:qFormat/>
    <w:pPr>
      <w:jc w:val="left"/>
      <w:spacing w:before="100" w:beforeAutospacing="1" w:after="100" w:afterAutospacing="1"/>
      <w:shd w:val="clear" w:color="000000" w:fill="ffffff"/>
      <w:widowControl/>
      <w:pBdr>
        <w:top w:val="single" w:color="000000" w:sz="8" w:space="0"/>
        <w:left w:val="single" w:color="000000" w:sz="8" w:space="0"/>
        <w:bottom w:val="single" w:color="000000" w:sz="8" w:space="0"/>
      </w:pBdr>
    </w:pPr>
    <w:rPr>
      <w:rFonts w:ascii="宋体" w:hAnsi="宋体" w:eastAsia="宋体" w:cs="宋体"/>
      <w:b/>
      <w:bCs/>
      <w:color w:val="0000ff"/>
      <w:sz w:val="24"/>
    </w:rPr>
  </w:style>
  <w:style w:type="paragraph" w:styleId="991" w:customStyle="1">
    <w:name w:val="xl102"/>
    <w:basedOn w:val="721"/>
    <w:uiPriority w:val="0"/>
    <w:qFormat/>
    <w:pPr>
      <w:jc w:val="left"/>
      <w:spacing w:before="100" w:beforeAutospacing="1" w:after="100" w:afterAutospacing="1"/>
      <w:shd w:val="clear" w:color="000000" w:fill="ffffff"/>
      <w:widowControl/>
      <w:pBdr>
        <w:top w:val="single" w:color="000000" w:sz="8" w:space="0"/>
        <w:bottom w:val="single" w:color="000000" w:sz="8" w:space="0"/>
      </w:pBdr>
    </w:pPr>
    <w:rPr>
      <w:rFonts w:ascii="宋体" w:hAnsi="宋体" w:eastAsia="宋体" w:cs="宋体"/>
      <w:b/>
      <w:bCs/>
      <w:color w:val="0000ff"/>
      <w:sz w:val="24"/>
    </w:rPr>
  </w:style>
  <w:style w:type="paragraph" w:styleId="992" w:customStyle="1">
    <w:name w:val="xl103"/>
    <w:basedOn w:val="721"/>
    <w:uiPriority w:val="0"/>
    <w:qFormat/>
    <w:pPr>
      <w:jc w:val="left"/>
      <w:spacing w:before="100" w:beforeAutospacing="1" w:after="100" w:afterAutospacing="1"/>
      <w:shd w:val="clear" w:color="000000" w:fill="ffffff"/>
      <w:widowControl/>
      <w:pBdr>
        <w:top w:val="single" w:color="000000" w:sz="8" w:space="0"/>
        <w:bottom w:val="single" w:color="000000" w:sz="8" w:space="0"/>
        <w:right w:val="single" w:color="000000" w:sz="8" w:space="0"/>
      </w:pBdr>
    </w:pPr>
    <w:rPr>
      <w:rFonts w:ascii="宋体" w:hAnsi="宋体" w:eastAsia="宋体" w:cs="宋体"/>
      <w:b/>
      <w:bCs/>
      <w:color w:val="0000ff"/>
      <w:sz w:val="24"/>
    </w:rPr>
  </w:style>
  <w:style w:type="paragraph" w:styleId="993" w:customStyle="1">
    <w:name w:val="xl104"/>
    <w:basedOn w:val="721"/>
    <w:uiPriority w:val="0"/>
    <w:qFormat/>
    <w:pPr>
      <w:spacing w:before="100" w:beforeAutospacing="1" w:after="100" w:afterAutospacing="1"/>
      <w:widowControl/>
      <w:pBdr>
        <w:top w:val="single" w:color="000000" w:sz="8" w:space="0"/>
        <w:left w:val="single" w:color="000000" w:sz="8" w:space="0"/>
        <w:bottom w:val="single" w:color="000000" w:sz="8" w:space="0"/>
      </w:pBdr>
    </w:pPr>
    <w:rPr>
      <w:rFonts w:ascii="宋体" w:hAnsi="宋体" w:eastAsia="宋体" w:cs="宋体"/>
      <w:sz w:val="24"/>
    </w:rPr>
  </w:style>
  <w:style w:type="paragraph" w:styleId="994" w:customStyle="1">
    <w:name w:val="xl105"/>
    <w:basedOn w:val="721"/>
    <w:uiPriority w:val="0"/>
    <w:qFormat/>
    <w:pPr>
      <w:spacing w:before="100" w:beforeAutospacing="1" w:after="100" w:afterAutospacing="1"/>
      <w:widowControl/>
      <w:pBdr>
        <w:top w:val="single" w:color="000000" w:sz="8" w:space="0"/>
        <w:bottom w:val="single" w:color="000000" w:sz="8" w:space="0"/>
      </w:pBdr>
    </w:pPr>
    <w:rPr>
      <w:rFonts w:ascii="宋体" w:hAnsi="宋体" w:eastAsia="宋体" w:cs="宋体"/>
      <w:sz w:val="24"/>
    </w:rPr>
  </w:style>
  <w:style w:type="paragraph" w:styleId="995" w:customStyle="1">
    <w:name w:val="xl106"/>
    <w:basedOn w:val="721"/>
    <w:uiPriority w:val="0"/>
    <w:qFormat/>
    <w:pPr>
      <w:spacing w:before="100" w:beforeAutospacing="1" w:after="100" w:afterAutospacing="1"/>
      <w:widowControl/>
      <w:pBdr>
        <w:top w:val="single" w:color="000000" w:sz="8" w:space="0"/>
        <w:bottom w:val="single" w:color="000000" w:sz="8" w:space="0"/>
        <w:right w:val="single" w:color="000000" w:sz="8" w:space="0"/>
      </w:pBdr>
    </w:pPr>
    <w:rPr>
      <w:rFonts w:ascii="宋体" w:hAnsi="宋体" w:eastAsia="宋体" w:cs="宋体"/>
      <w:sz w:val="24"/>
    </w:rPr>
  </w:style>
  <w:style w:type="numbering" w:styleId="9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994E29BB-7456-4859-8914-38F36065C2A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杨保兰</cp:lastModifiedBy>
  <cp:revision>124</cp:revision>
  <dcterms:created xsi:type="dcterms:W3CDTF">2025-01-15T01:44:00Z</dcterms:created>
  <dcterms:modified xsi:type="dcterms:W3CDTF">2025-10-27T04:52:19Z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33512B909F49483CBC1218771D573B88</vt:lpwstr>
  </property>
  <property fmtid="{D5CDD505-2E9C-101B-9397-08002B2CF9AE}" pid="4" name="KSOTemplateDocerSaveRecord">
    <vt:lpwstr>eyJoZGlkIjoiMzE4Y2ZkMzUwODQ3ZWEyOGU1YWMxYjg4ZTQ0Mjg0YWUiLCJ1c2VySWQiOiIyMzUxNTc5NjkifQ==</vt:lpwstr>
  </property>
</Properties>
</file>